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B8" w:rsidRPr="009D5D55" w:rsidRDefault="00085FED">
      <w:pPr>
        <w:rPr>
          <w:b/>
          <w:sz w:val="24"/>
          <w:szCs w:val="24"/>
        </w:rPr>
      </w:pPr>
      <w:r w:rsidRPr="009D5D55">
        <w:rPr>
          <w:b/>
          <w:sz w:val="24"/>
          <w:szCs w:val="24"/>
        </w:rPr>
        <w:t>Informationen zu den</w:t>
      </w:r>
      <w:r w:rsidR="002E6AB8" w:rsidRPr="009D5D55">
        <w:rPr>
          <w:b/>
          <w:sz w:val="24"/>
          <w:szCs w:val="24"/>
        </w:rPr>
        <w:t xml:space="preserve"> BA-Studiengänge</w:t>
      </w:r>
      <w:r w:rsidRPr="009D5D55">
        <w:rPr>
          <w:b/>
          <w:sz w:val="24"/>
          <w:szCs w:val="24"/>
        </w:rPr>
        <w:t>n</w:t>
      </w:r>
      <w:r w:rsidR="002E6AB8" w:rsidRPr="009D5D55">
        <w:rPr>
          <w:b/>
          <w:sz w:val="24"/>
          <w:szCs w:val="24"/>
        </w:rPr>
        <w:t xml:space="preserve"> Latein (HF und NF)</w:t>
      </w:r>
    </w:p>
    <w:p w:rsidR="002E6AB8" w:rsidRPr="009D5D55" w:rsidRDefault="002E6AB8" w:rsidP="002E6AB8">
      <w:pPr>
        <w:pStyle w:val="Listenabsatz"/>
        <w:numPr>
          <w:ilvl w:val="0"/>
          <w:numId w:val="1"/>
        </w:numPr>
        <w:rPr>
          <w:sz w:val="24"/>
          <w:szCs w:val="24"/>
        </w:rPr>
      </w:pPr>
      <w:r w:rsidRPr="009D5D55">
        <w:rPr>
          <w:sz w:val="24"/>
          <w:szCs w:val="24"/>
        </w:rPr>
        <w:t>Der Bachelorstudiengang vermittelt im Hauptfach eine umfangreiche Ausbildung in Lateinischer Philologie, die allgemein altertumswissenschaftlich orientiert ist und so als wissenschaftliche Grundausbildung für unterschiedliche Berufe dienen kann. Das Studium der Lateinischen Philologie soll die Studierenden befähigen, den besonderen Charakter der antiken Kultur zu verstehen und darüber hinaus durch die Kenntnis kulturgeschichtlicher Beziehungen zwischen der griechisch-römischen Antike und nachfolgenden Epochen der europäischen Kultur und durch konfrontierenden Vergleich zu einem historisch fundierten kritischen Verständnis beizutragen. Den Studenten</w:t>
      </w:r>
      <w:r w:rsidR="00456462" w:rsidRPr="009D5D55">
        <w:rPr>
          <w:sz w:val="24"/>
          <w:szCs w:val="24"/>
        </w:rPr>
        <w:t xml:space="preserve"> werden</w:t>
      </w:r>
      <w:r w:rsidRPr="009D5D55">
        <w:rPr>
          <w:sz w:val="24"/>
          <w:szCs w:val="24"/>
        </w:rPr>
        <w:t xml:space="preserve"> u. a. grundlegende Kenntnisse der römischen Literaturgeschichte, Methoden der Interpretation von Texten</w:t>
      </w:r>
      <w:r w:rsidR="00456462" w:rsidRPr="009D5D55">
        <w:rPr>
          <w:sz w:val="24"/>
          <w:szCs w:val="24"/>
        </w:rPr>
        <w:t xml:space="preserve"> und</w:t>
      </w:r>
      <w:r w:rsidRPr="009D5D55">
        <w:rPr>
          <w:sz w:val="24"/>
          <w:szCs w:val="24"/>
        </w:rPr>
        <w:t xml:space="preserve">  </w:t>
      </w:r>
      <w:r w:rsidR="00456462" w:rsidRPr="009D5D55">
        <w:rPr>
          <w:sz w:val="24"/>
          <w:szCs w:val="24"/>
        </w:rPr>
        <w:t xml:space="preserve">Methoden der rezeptionsgeschichtlichen Forschung vermittelt. </w:t>
      </w:r>
    </w:p>
    <w:p w:rsidR="00456462" w:rsidRPr="009D5D55" w:rsidRDefault="00456462" w:rsidP="002E6AB8">
      <w:pPr>
        <w:pStyle w:val="Listenabsatz"/>
        <w:numPr>
          <w:ilvl w:val="0"/>
          <w:numId w:val="1"/>
        </w:numPr>
        <w:rPr>
          <w:sz w:val="24"/>
          <w:szCs w:val="24"/>
        </w:rPr>
      </w:pPr>
      <w:r w:rsidRPr="009D5D55">
        <w:rPr>
          <w:sz w:val="24"/>
          <w:szCs w:val="24"/>
        </w:rPr>
        <w:t>Folgende Schlüsselqualifikationen werden erlangt:</w:t>
      </w:r>
    </w:p>
    <w:p w:rsidR="00456462" w:rsidRPr="009D5D55" w:rsidRDefault="00456462" w:rsidP="00456462">
      <w:pPr>
        <w:pStyle w:val="Listenabsatz"/>
        <w:numPr>
          <w:ilvl w:val="1"/>
          <w:numId w:val="1"/>
        </w:numPr>
        <w:rPr>
          <w:sz w:val="24"/>
          <w:szCs w:val="24"/>
        </w:rPr>
      </w:pPr>
      <w:r w:rsidRPr="009D5D55">
        <w:rPr>
          <w:sz w:val="24"/>
          <w:szCs w:val="24"/>
        </w:rPr>
        <w:t xml:space="preserve">Fähigkeiten im Umgang mit Texten, insbesondere fremdsprachlichen Texten; </w:t>
      </w:r>
    </w:p>
    <w:p w:rsidR="00456462" w:rsidRPr="009D5D55" w:rsidRDefault="00456462" w:rsidP="00456462">
      <w:pPr>
        <w:pStyle w:val="Listenabsatz"/>
        <w:numPr>
          <w:ilvl w:val="1"/>
          <w:numId w:val="1"/>
        </w:numPr>
        <w:rPr>
          <w:sz w:val="24"/>
          <w:szCs w:val="24"/>
        </w:rPr>
      </w:pPr>
      <w:r w:rsidRPr="009D5D55">
        <w:rPr>
          <w:sz w:val="24"/>
          <w:szCs w:val="24"/>
        </w:rPr>
        <w:t xml:space="preserve">kritische Reflexionsfähigkeit bezüglich sprachlicher und allgemein kultureller Sachverhalte; </w:t>
      </w:r>
    </w:p>
    <w:p w:rsidR="00456462" w:rsidRPr="009D5D55" w:rsidRDefault="00456462" w:rsidP="00456462">
      <w:pPr>
        <w:pStyle w:val="Listenabsatz"/>
        <w:numPr>
          <w:ilvl w:val="1"/>
          <w:numId w:val="1"/>
        </w:numPr>
        <w:rPr>
          <w:sz w:val="24"/>
          <w:szCs w:val="24"/>
        </w:rPr>
      </w:pPr>
      <w:r w:rsidRPr="009D5D55">
        <w:rPr>
          <w:sz w:val="24"/>
          <w:szCs w:val="24"/>
        </w:rPr>
        <w:t xml:space="preserve">Fähigkeiten zur Recherche in unterschiedlichen Medien; </w:t>
      </w:r>
    </w:p>
    <w:p w:rsidR="00456462" w:rsidRPr="009D5D55" w:rsidRDefault="00456462" w:rsidP="00456462">
      <w:pPr>
        <w:pStyle w:val="Listenabsatz"/>
        <w:numPr>
          <w:ilvl w:val="1"/>
          <w:numId w:val="1"/>
        </w:numPr>
        <w:rPr>
          <w:sz w:val="24"/>
          <w:szCs w:val="24"/>
        </w:rPr>
      </w:pPr>
      <w:r w:rsidRPr="009D5D55">
        <w:rPr>
          <w:sz w:val="24"/>
          <w:szCs w:val="24"/>
        </w:rPr>
        <w:t xml:space="preserve">Fähigkeiten zur Analyse von Texten und anderen komplexen Zusammenhängen; </w:t>
      </w:r>
    </w:p>
    <w:p w:rsidR="00456462" w:rsidRPr="009D5D55" w:rsidRDefault="00456462" w:rsidP="00456462">
      <w:pPr>
        <w:pStyle w:val="Listenabsatz"/>
        <w:numPr>
          <w:ilvl w:val="1"/>
          <w:numId w:val="1"/>
        </w:numPr>
        <w:rPr>
          <w:sz w:val="24"/>
          <w:szCs w:val="24"/>
        </w:rPr>
      </w:pPr>
      <w:r w:rsidRPr="009D5D55">
        <w:rPr>
          <w:sz w:val="24"/>
          <w:szCs w:val="24"/>
        </w:rPr>
        <w:t>schriftliche und mündliche Präsentationsverfahren.</w:t>
      </w:r>
    </w:p>
    <w:p w:rsidR="00456462" w:rsidRPr="009D5D55" w:rsidRDefault="00456462" w:rsidP="002E6AB8">
      <w:pPr>
        <w:pStyle w:val="Listenabsatz"/>
        <w:numPr>
          <w:ilvl w:val="0"/>
          <w:numId w:val="1"/>
        </w:numPr>
        <w:rPr>
          <w:sz w:val="24"/>
          <w:szCs w:val="24"/>
        </w:rPr>
      </w:pPr>
      <w:r w:rsidRPr="009D5D55">
        <w:rPr>
          <w:sz w:val="24"/>
          <w:szCs w:val="24"/>
        </w:rPr>
        <w:t>Mögliche berufliche Ziele sind z. B.</w:t>
      </w:r>
    </w:p>
    <w:p w:rsidR="00456462" w:rsidRPr="009D5D55" w:rsidRDefault="00456462" w:rsidP="00456462">
      <w:pPr>
        <w:pStyle w:val="Listenabsatz"/>
        <w:numPr>
          <w:ilvl w:val="1"/>
          <w:numId w:val="1"/>
        </w:numPr>
        <w:spacing w:after="0" w:line="240" w:lineRule="auto"/>
        <w:jc w:val="both"/>
        <w:rPr>
          <w:sz w:val="24"/>
          <w:szCs w:val="24"/>
        </w:rPr>
      </w:pPr>
      <w:r w:rsidRPr="009D5D55">
        <w:rPr>
          <w:sz w:val="24"/>
          <w:szCs w:val="24"/>
        </w:rPr>
        <w:t>Tätigkeit in Bibliotheken, Archiven, Verlagen;</w:t>
      </w:r>
    </w:p>
    <w:p w:rsidR="00456462" w:rsidRPr="009D5D55" w:rsidRDefault="00456462" w:rsidP="00456462">
      <w:pPr>
        <w:pStyle w:val="Listenabsatz"/>
        <w:numPr>
          <w:ilvl w:val="1"/>
          <w:numId w:val="1"/>
        </w:numPr>
        <w:spacing w:after="0" w:line="240" w:lineRule="auto"/>
        <w:jc w:val="both"/>
        <w:rPr>
          <w:sz w:val="24"/>
          <w:szCs w:val="24"/>
        </w:rPr>
      </w:pPr>
      <w:r w:rsidRPr="009D5D55">
        <w:rPr>
          <w:sz w:val="24"/>
          <w:szCs w:val="24"/>
        </w:rPr>
        <w:t xml:space="preserve">Tätigkeit am Theater, in Publizistik, Presse, Rundfunk, Fernsehen, Öffentlichkeitsarbeit; </w:t>
      </w:r>
    </w:p>
    <w:p w:rsidR="00456462" w:rsidRPr="009D5D55" w:rsidRDefault="00456462" w:rsidP="00456462">
      <w:pPr>
        <w:pStyle w:val="Listenabsatz"/>
        <w:numPr>
          <w:ilvl w:val="1"/>
          <w:numId w:val="1"/>
        </w:numPr>
        <w:spacing w:after="0" w:line="240" w:lineRule="auto"/>
        <w:jc w:val="both"/>
        <w:rPr>
          <w:sz w:val="24"/>
          <w:szCs w:val="24"/>
        </w:rPr>
      </w:pPr>
      <w:r w:rsidRPr="009D5D55">
        <w:rPr>
          <w:sz w:val="24"/>
          <w:szCs w:val="24"/>
        </w:rPr>
        <w:t xml:space="preserve">Tätigkeit in kulturellen Institutionen und Weiterbildungseinrichtungen. </w:t>
      </w:r>
    </w:p>
    <w:p w:rsidR="00EF1040" w:rsidRPr="009D5D55" w:rsidRDefault="00EF1040" w:rsidP="00EF1040">
      <w:pPr>
        <w:pStyle w:val="Listenabsatz"/>
        <w:numPr>
          <w:ilvl w:val="0"/>
          <w:numId w:val="1"/>
        </w:numPr>
        <w:spacing w:after="0"/>
        <w:rPr>
          <w:sz w:val="24"/>
          <w:szCs w:val="24"/>
        </w:rPr>
      </w:pPr>
      <w:r w:rsidRPr="009D5D55">
        <w:rPr>
          <w:sz w:val="24"/>
          <w:szCs w:val="24"/>
        </w:rPr>
        <w:t xml:space="preserve">Das Studium im Fach Lateinische Philologie kann zum Winter- und zum Sommersemester aufgenommen werden. Empfohlen wird ein Beginn im Wintersemester. </w:t>
      </w:r>
    </w:p>
    <w:p w:rsidR="00456462" w:rsidRPr="009D5D55" w:rsidRDefault="002554EB" w:rsidP="002E6AB8">
      <w:pPr>
        <w:pStyle w:val="Listenabsatz"/>
        <w:numPr>
          <w:ilvl w:val="0"/>
          <w:numId w:val="1"/>
        </w:numPr>
        <w:rPr>
          <w:sz w:val="24"/>
          <w:szCs w:val="24"/>
        </w:rPr>
      </w:pPr>
      <w:r w:rsidRPr="009D5D55">
        <w:rPr>
          <w:sz w:val="24"/>
          <w:szCs w:val="24"/>
        </w:rPr>
        <w:t>Sprachnachweise: BA HF und NF: Latinum als Studienvoraussetzung, Nachweis des Graecums beim Zugang zu Lehrveranstaltung 2 und 3 des Moduls VIII</w:t>
      </w:r>
    </w:p>
    <w:p w:rsidR="002554EB" w:rsidRPr="009D5D55" w:rsidRDefault="00E1333D" w:rsidP="002554EB">
      <w:pPr>
        <w:pStyle w:val="Listenabsatz"/>
        <w:numPr>
          <w:ilvl w:val="0"/>
          <w:numId w:val="1"/>
        </w:numPr>
        <w:rPr>
          <w:sz w:val="24"/>
          <w:szCs w:val="24"/>
        </w:rPr>
      </w:pPr>
      <w:r w:rsidRPr="009D5D55">
        <w:rPr>
          <w:sz w:val="24"/>
          <w:szCs w:val="24"/>
        </w:rPr>
        <w:t xml:space="preserve">Mögliche </w:t>
      </w:r>
      <w:r w:rsidR="002554EB" w:rsidRPr="009D5D55">
        <w:rPr>
          <w:sz w:val="24"/>
          <w:szCs w:val="24"/>
        </w:rPr>
        <w:t>Veranstaltungen im 1. Fachsemester:</w:t>
      </w:r>
    </w:p>
    <w:p w:rsidR="002554EB" w:rsidRPr="009D5D55" w:rsidRDefault="002554EB" w:rsidP="00C3641C">
      <w:pPr>
        <w:pStyle w:val="Listenabsatz"/>
        <w:numPr>
          <w:ilvl w:val="1"/>
          <w:numId w:val="1"/>
        </w:numPr>
        <w:spacing w:after="0" w:line="240" w:lineRule="auto"/>
        <w:rPr>
          <w:rFonts w:ascii="Calibri" w:eastAsia="Times New Roman" w:hAnsi="Calibri" w:cs="Arial"/>
          <w:sz w:val="24"/>
          <w:szCs w:val="24"/>
          <w:lang w:eastAsia="de-DE"/>
        </w:rPr>
      </w:pPr>
      <w:proofErr w:type="spellStart"/>
      <w:r w:rsidRPr="009D5D55">
        <w:rPr>
          <w:rFonts w:ascii="Calibri" w:eastAsia="Times New Roman" w:hAnsi="Calibri" w:cs="Arial"/>
          <w:sz w:val="24"/>
          <w:szCs w:val="24"/>
          <w:lang w:eastAsia="de-DE"/>
        </w:rPr>
        <w:t>Propädeutikum</w:t>
      </w:r>
      <w:proofErr w:type="spellEnd"/>
      <w:r w:rsidRPr="009D5D55">
        <w:rPr>
          <w:rFonts w:ascii="Calibri" w:eastAsia="Times New Roman" w:hAnsi="Calibri" w:cs="Arial"/>
          <w:sz w:val="24"/>
          <w:szCs w:val="24"/>
          <w:lang w:eastAsia="de-DE"/>
        </w:rPr>
        <w:t xml:space="preserve"> und Tutorium zum </w:t>
      </w:r>
      <w:proofErr w:type="spellStart"/>
      <w:r w:rsidRPr="009D5D55">
        <w:rPr>
          <w:rFonts w:ascii="Calibri" w:eastAsia="Times New Roman" w:hAnsi="Calibri" w:cs="Arial"/>
          <w:sz w:val="24"/>
          <w:szCs w:val="24"/>
          <w:lang w:eastAsia="de-DE"/>
        </w:rPr>
        <w:t>Propädeutikum</w:t>
      </w:r>
      <w:proofErr w:type="spellEnd"/>
      <w:r w:rsidRPr="009D5D55">
        <w:rPr>
          <w:rFonts w:ascii="Calibri" w:eastAsia="Times New Roman" w:hAnsi="Calibri" w:cs="Arial"/>
          <w:sz w:val="24"/>
          <w:szCs w:val="24"/>
          <w:lang w:eastAsia="de-DE"/>
        </w:rPr>
        <w:t xml:space="preserve"> (Modul 1)</w:t>
      </w:r>
    </w:p>
    <w:p w:rsidR="00C3641C" w:rsidRPr="009D5D55" w:rsidRDefault="00C3641C" w:rsidP="00C3641C">
      <w:pPr>
        <w:pStyle w:val="Listenabsatz"/>
        <w:numPr>
          <w:ilvl w:val="1"/>
          <w:numId w:val="1"/>
        </w:numPr>
        <w:spacing w:after="0" w:line="240" w:lineRule="auto"/>
        <w:rPr>
          <w:rFonts w:ascii="Calibri" w:eastAsia="Times New Roman" w:hAnsi="Calibri" w:cs="Arial"/>
          <w:sz w:val="24"/>
          <w:szCs w:val="24"/>
          <w:lang w:eastAsia="de-DE"/>
        </w:rPr>
      </w:pPr>
      <w:r w:rsidRPr="009D5D55">
        <w:rPr>
          <w:rFonts w:ascii="Calibri" w:eastAsia="Times New Roman" w:hAnsi="Calibri" w:cs="Arial"/>
          <w:sz w:val="24"/>
          <w:szCs w:val="24"/>
          <w:lang w:eastAsia="de-DE"/>
        </w:rPr>
        <w:t>Vorlesung Prosa und/ oder Poesie (je nach Angebot) (Modul 3 oder 4)</w:t>
      </w:r>
    </w:p>
    <w:p w:rsidR="00C3641C" w:rsidRPr="009D5D55" w:rsidRDefault="00C3641C" w:rsidP="00C3641C">
      <w:pPr>
        <w:pStyle w:val="Listenabsatz"/>
        <w:numPr>
          <w:ilvl w:val="1"/>
          <w:numId w:val="1"/>
        </w:numPr>
        <w:spacing w:after="0" w:line="240" w:lineRule="auto"/>
        <w:rPr>
          <w:rFonts w:ascii="Calibri" w:eastAsia="Times New Roman" w:hAnsi="Calibri" w:cs="Arial"/>
          <w:sz w:val="24"/>
          <w:szCs w:val="24"/>
          <w:lang w:eastAsia="de-DE"/>
        </w:rPr>
      </w:pPr>
      <w:r w:rsidRPr="009D5D55">
        <w:rPr>
          <w:rFonts w:ascii="Calibri" w:eastAsia="Times New Roman" w:hAnsi="Calibri" w:cs="Arial"/>
          <w:sz w:val="24"/>
          <w:szCs w:val="24"/>
          <w:lang w:eastAsia="de-DE"/>
        </w:rPr>
        <w:t>Lektüreübung Prosa oder Poesie (Modul 2)</w:t>
      </w:r>
    </w:p>
    <w:p w:rsidR="00C3641C" w:rsidRPr="009D5D55" w:rsidRDefault="00C3641C" w:rsidP="00C3641C">
      <w:pPr>
        <w:pStyle w:val="Listenabsatz"/>
        <w:numPr>
          <w:ilvl w:val="1"/>
          <w:numId w:val="1"/>
        </w:numPr>
        <w:spacing w:after="0" w:line="240" w:lineRule="auto"/>
        <w:rPr>
          <w:rFonts w:ascii="Calibri" w:eastAsia="Times New Roman" w:hAnsi="Calibri" w:cs="Arial"/>
          <w:sz w:val="24"/>
          <w:szCs w:val="24"/>
          <w:lang w:eastAsia="de-DE"/>
        </w:rPr>
      </w:pPr>
      <w:r w:rsidRPr="009D5D55">
        <w:rPr>
          <w:rFonts w:ascii="Calibri" w:eastAsia="Times New Roman" w:hAnsi="Calibri" w:cs="Arial"/>
          <w:sz w:val="24"/>
          <w:szCs w:val="24"/>
          <w:lang w:eastAsia="de-DE"/>
        </w:rPr>
        <w:t xml:space="preserve">Workshop Schlüsselkompetenzen </w:t>
      </w:r>
      <w:r w:rsidR="009D5D55">
        <w:rPr>
          <w:rFonts w:ascii="Calibri" w:eastAsia="Times New Roman" w:hAnsi="Calibri" w:cs="Arial"/>
          <w:sz w:val="24"/>
          <w:szCs w:val="24"/>
          <w:lang w:eastAsia="de-DE"/>
        </w:rPr>
        <w:t>(Modul 2)</w:t>
      </w:r>
      <w:r w:rsidR="00E1333D" w:rsidRPr="009D5D55">
        <w:rPr>
          <w:rFonts w:ascii="Calibri" w:eastAsia="Times New Roman" w:hAnsi="Calibri" w:cs="Arial"/>
          <w:sz w:val="24"/>
          <w:szCs w:val="24"/>
          <w:lang w:eastAsia="de-DE"/>
        </w:rPr>
        <w:t xml:space="preserve"> </w:t>
      </w:r>
      <w:r w:rsidR="009D5D55">
        <w:rPr>
          <w:rFonts w:ascii="Calibri" w:eastAsia="Times New Roman" w:hAnsi="Calibri" w:cs="Arial"/>
          <w:sz w:val="24"/>
          <w:szCs w:val="24"/>
          <w:lang w:eastAsia="de-DE"/>
        </w:rPr>
        <w:t>(</w:t>
      </w:r>
      <w:r w:rsidRPr="009D5D55">
        <w:rPr>
          <w:rFonts w:ascii="Calibri" w:hAnsi="Calibri"/>
          <w:b/>
          <w:sz w:val="18"/>
          <w:szCs w:val="18"/>
        </w:rPr>
        <w:t xml:space="preserve">Die GU bietet ein </w:t>
      </w:r>
      <w:proofErr w:type="spellStart"/>
      <w:r w:rsidRPr="009D5D55">
        <w:rPr>
          <w:rFonts w:ascii="Calibri" w:hAnsi="Calibri"/>
          <w:b/>
          <w:sz w:val="18"/>
          <w:szCs w:val="18"/>
        </w:rPr>
        <w:t>Workshopprogramm</w:t>
      </w:r>
      <w:proofErr w:type="spellEnd"/>
      <w:r w:rsidRPr="009D5D55">
        <w:rPr>
          <w:rFonts w:ascii="Calibri" w:hAnsi="Calibri"/>
          <w:b/>
          <w:sz w:val="18"/>
          <w:szCs w:val="18"/>
        </w:rPr>
        <w:t xml:space="preserve"> zum Schlüsselkompetenz-Training an, dort können Workshops aus den vier Bereichen Ziel-, Zeit- und Selbstmanagement, Lern- und Arbeitsstrategien, Präsentation, Kommunikation und Medienkompetenz besucht werden. Workshops weiterer Anbieter zu den genannten Themen, aber auch Literaturverwaltung o. ä. können bei Vorlage einer Teilnahmebestätigung, die Auskunft über den zeitlichen Umfang gibt, vom Modulverantwortlichen angerechnet werden.</w:t>
      </w:r>
      <w:r w:rsidRPr="009D5D55">
        <w:rPr>
          <w:rFonts w:ascii="Calibri" w:hAnsi="Calibri"/>
          <w:sz w:val="24"/>
          <w:szCs w:val="24"/>
        </w:rPr>
        <w:t>)</w:t>
      </w:r>
    </w:p>
    <w:p w:rsidR="00C3641C" w:rsidRPr="009D5D55" w:rsidRDefault="00C3641C" w:rsidP="00C3641C">
      <w:pPr>
        <w:pStyle w:val="Listenabsatz"/>
        <w:numPr>
          <w:ilvl w:val="1"/>
          <w:numId w:val="1"/>
        </w:numPr>
        <w:spacing w:after="0" w:line="240" w:lineRule="auto"/>
        <w:rPr>
          <w:rFonts w:ascii="Calibri" w:eastAsia="Times New Roman" w:hAnsi="Calibri" w:cs="Arial"/>
          <w:sz w:val="24"/>
          <w:szCs w:val="24"/>
          <w:lang w:eastAsia="de-DE"/>
        </w:rPr>
      </w:pPr>
      <w:r w:rsidRPr="009D5D55">
        <w:rPr>
          <w:rFonts w:ascii="Calibri" w:hAnsi="Calibri"/>
          <w:sz w:val="24"/>
          <w:szCs w:val="24"/>
        </w:rPr>
        <w:t>Sprachkurse</w:t>
      </w:r>
      <w:r w:rsidR="009D5D55">
        <w:rPr>
          <w:rFonts w:ascii="Calibri" w:hAnsi="Calibri"/>
          <w:sz w:val="24"/>
          <w:szCs w:val="24"/>
        </w:rPr>
        <w:t xml:space="preserve"> (Modul 2)</w:t>
      </w:r>
      <w:r w:rsidRPr="009D5D55">
        <w:rPr>
          <w:rFonts w:ascii="Calibri" w:hAnsi="Calibri"/>
          <w:sz w:val="24"/>
          <w:szCs w:val="24"/>
        </w:rPr>
        <w:t xml:space="preserve"> </w:t>
      </w:r>
      <w:r w:rsidR="009D5D55">
        <w:rPr>
          <w:rFonts w:ascii="Calibri" w:hAnsi="Calibri"/>
          <w:sz w:val="24"/>
          <w:szCs w:val="24"/>
        </w:rPr>
        <w:t>(</w:t>
      </w:r>
      <w:r w:rsidRPr="009D5D55">
        <w:rPr>
          <w:rFonts w:ascii="Calibri" w:hAnsi="Calibri"/>
          <w:b/>
          <w:sz w:val="18"/>
          <w:szCs w:val="18"/>
          <w:u w:val="single"/>
        </w:rPr>
        <w:t>außer</w:t>
      </w:r>
      <w:r w:rsidRPr="009D5D55">
        <w:rPr>
          <w:rFonts w:ascii="Calibri" w:hAnsi="Calibri"/>
          <w:b/>
          <w:sz w:val="18"/>
          <w:szCs w:val="18"/>
        </w:rPr>
        <w:t xml:space="preserve"> Deutsch, Altgriechisch, Latein und Englisch sowie ggf. weiteren Muttersprachen der Studierenden</w:t>
      </w:r>
      <w:r w:rsidRPr="009D5D55">
        <w:rPr>
          <w:rFonts w:ascii="Calibri" w:hAnsi="Calibri"/>
          <w:sz w:val="18"/>
          <w:szCs w:val="18"/>
        </w:rPr>
        <w:t xml:space="preserve">. Als Sprachkurse können z. B. Arabischkurse am Institut für Studien der Religion und Kultur des Islam, die </w:t>
      </w:r>
      <w:proofErr w:type="spellStart"/>
      <w:r w:rsidRPr="009D5D55">
        <w:rPr>
          <w:rFonts w:ascii="Calibri" w:hAnsi="Calibri"/>
          <w:sz w:val="18"/>
          <w:szCs w:val="18"/>
        </w:rPr>
        <w:t>Hebräischkurse</w:t>
      </w:r>
      <w:proofErr w:type="spellEnd"/>
      <w:r w:rsidRPr="009D5D55">
        <w:rPr>
          <w:rFonts w:ascii="Calibri" w:hAnsi="Calibri"/>
          <w:sz w:val="18"/>
          <w:szCs w:val="18"/>
        </w:rPr>
        <w:t xml:space="preserve"> am Institut für Judaistik und die Sprachkurse am Institut für Empirische Sprachwissenschaft und </w:t>
      </w:r>
      <w:proofErr w:type="spellStart"/>
      <w:r w:rsidRPr="009D5D55">
        <w:rPr>
          <w:rFonts w:ascii="Calibri" w:hAnsi="Calibri"/>
          <w:sz w:val="18"/>
          <w:szCs w:val="18"/>
        </w:rPr>
        <w:t>Neugriechischkurse</w:t>
      </w:r>
      <w:proofErr w:type="spellEnd"/>
      <w:r w:rsidRPr="009D5D55">
        <w:rPr>
          <w:rFonts w:ascii="Calibri" w:hAnsi="Calibri"/>
          <w:sz w:val="18"/>
          <w:szCs w:val="18"/>
        </w:rPr>
        <w:t xml:space="preserve"> am Institut für Klassische Philologie besucht werden.</w:t>
      </w:r>
      <w:r w:rsidRPr="009D5D55">
        <w:rPr>
          <w:rFonts w:ascii="Calibri" w:hAnsi="Calibri"/>
          <w:sz w:val="24"/>
          <w:szCs w:val="24"/>
        </w:rPr>
        <w:t>)</w:t>
      </w:r>
    </w:p>
    <w:p w:rsidR="002554EB" w:rsidRPr="009D5D55" w:rsidRDefault="00E1333D" w:rsidP="009D5D55">
      <w:pPr>
        <w:pStyle w:val="Listenabsatz"/>
        <w:numPr>
          <w:ilvl w:val="0"/>
          <w:numId w:val="1"/>
        </w:numPr>
        <w:spacing w:after="0" w:line="240" w:lineRule="auto"/>
        <w:rPr>
          <w:rFonts w:ascii="Calibri" w:eastAsia="Times New Roman" w:hAnsi="Calibri" w:cs="Arial"/>
          <w:sz w:val="24"/>
          <w:szCs w:val="24"/>
          <w:lang w:eastAsia="de-DE"/>
        </w:rPr>
      </w:pPr>
      <w:r w:rsidRPr="009D5D55">
        <w:rPr>
          <w:rFonts w:ascii="Calibri" w:eastAsia="Times New Roman" w:hAnsi="Calibri" w:cs="Arial"/>
          <w:sz w:val="24"/>
          <w:szCs w:val="24"/>
          <w:lang w:eastAsia="de-DE"/>
        </w:rPr>
        <w:t>Bei weiteren Fragen zur Studienordnung und zur Organisation Ihres Studiums wenden Sie sich bitte an die zuständige Studienberatung</w:t>
      </w:r>
      <w:bookmarkStart w:id="0" w:name="_GoBack"/>
      <w:bookmarkEnd w:id="0"/>
    </w:p>
    <w:sectPr w:rsidR="002554EB" w:rsidRPr="009D5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idien Roman">
    <w:altName w:val="Times New Roman"/>
    <w:charset w:val="00"/>
    <w:family w:val="roman"/>
    <w:pitch w:val="variable"/>
    <w:sig w:usb0="00000001" w:usb1="4000004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284"/>
    <w:multiLevelType w:val="hybridMultilevel"/>
    <w:tmpl w:val="7A64DC92"/>
    <w:lvl w:ilvl="0" w:tplc="A056A5BC">
      <w:numFmt w:val="bullet"/>
      <w:lvlText w:val="-"/>
      <w:lvlJc w:val="left"/>
      <w:pPr>
        <w:ind w:left="720" w:hanging="360"/>
      </w:pPr>
      <w:rPr>
        <w:rFonts w:ascii="Meridien Roman" w:eastAsia="Times New Roman" w:hAnsi="Meridien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506477"/>
    <w:multiLevelType w:val="hybridMultilevel"/>
    <w:tmpl w:val="0D84DBF4"/>
    <w:lvl w:ilvl="0" w:tplc="9112DF6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B8"/>
    <w:rsid w:val="00042800"/>
    <w:rsid w:val="00085FED"/>
    <w:rsid w:val="002554EB"/>
    <w:rsid w:val="002E6AB8"/>
    <w:rsid w:val="003B73CA"/>
    <w:rsid w:val="00456462"/>
    <w:rsid w:val="006958EB"/>
    <w:rsid w:val="009D5D55"/>
    <w:rsid w:val="00C3641C"/>
    <w:rsid w:val="00E1333D"/>
    <w:rsid w:val="00EF1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AFBC-BBF7-4428-9287-1C4D443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2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4064">
      <w:bodyDiv w:val="1"/>
      <w:marLeft w:val="0"/>
      <w:marRight w:val="0"/>
      <w:marTop w:val="0"/>
      <w:marBottom w:val="0"/>
      <w:divBdr>
        <w:top w:val="none" w:sz="0" w:space="0" w:color="auto"/>
        <w:left w:val="none" w:sz="0" w:space="0" w:color="auto"/>
        <w:bottom w:val="none" w:sz="0" w:space="0" w:color="auto"/>
        <w:right w:val="none" w:sz="0" w:space="0" w:color="auto"/>
      </w:divBdr>
    </w:div>
    <w:div w:id="1686202250">
      <w:bodyDiv w:val="1"/>
      <w:marLeft w:val="0"/>
      <w:marRight w:val="0"/>
      <w:marTop w:val="0"/>
      <w:marBottom w:val="0"/>
      <w:divBdr>
        <w:top w:val="none" w:sz="0" w:space="0" w:color="auto"/>
        <w:left w:val="none" w:sz="0" w:space="0" w:color="auto"/>
        <w:bottom w:val="none" w:sz="0" w:space="0" w:color="auto"/>
        <w:right w:val="none" w:sz="0" w:space="0" w:color="auto"/>
      </w:divBdr>
      <w:divsChild>
        <w:div w:id="1889682386">
          <w:marLeft w:val="0"/>
          <w:marRight w:val="0"/>
          <w:marTop w:val="0"/>
          <w:marBottom w:val="0"/>
          <w:divBdr>
            <w:top w:val="none" w:sz="0" w:space="0" w:color="auto"/>
            <w:left w:val="none" w:sz="0" w:space="0" w:color="auto"/>
            <w:bottom w:val="none" w:sz="0" w:space="0" w:color="auto"/>
            <w:right w:val="none" w:sz="0" w:space="0" w:color="auto"/>
          </w:divBdr>
        </w:div>
        <w:div w:id="1728188883">
          <w:marLeft w:val="0"/>
          <w:marRight w:val="0"/>
          <w:marTop w:val="0"/>
          <w:marBottom w:val="0"/>
          <w:divBdr>
            <w:top w:val="none" w:sz="0" w:space="0" w:color="auto"/>
            <w:left w:val="none" w:sz="0" w:space="0" w:color="auto"/>
            <w:bottom w:val="none" w:sz="0" w:space="0" w:color="auto"/>
            <w:right w:val="none" w:sz="0" w:space="0" w:color="auto"/>
          </w:divBdr>
        </w:div>
        <w:div w:id="1433666206">
          <w:marLeft w:val="0"/>
          <w:marRight w:val="0"/>
          <w:marTop w:val="0"/>
          <w:marBottom w:val="0"/>
          <w:divBdr>
            <w:top w:val="none" w:sz="0" w:space="0" w:color="auto"/>
            <w:left w:val="none" w:sz="0" w:space="0" w:color="auto"/>
            <w:bottom w:val="none" w:sz="0" w:space="0" w:color="auto"/>
            <w:right w:val="none" w:sz="0" w:space="0" w:color="auto"/>
          </w:divBdr>
        </w:div>
      </w:divsChild>
    </w:div>
    <w:div w:id="1783112486">
      <w:bodyDiv w:val="1"/>
      <w:marLeft w:val="0"/>
      <w:marRight w:val="0"/>
      <w:marTop w:val="0"/>
      <w:marBottom w:val="0"/>
      <w:divBdr>
        <w:top w:val="none" w:sz="0" w:space="0" w:color="auto"/>
        <w:left w:val="none" w:sz="0" w:space="0" w:color="auto"/>
        <w:bottom w:val="none" w:sz="0" w:space="0" w:color="auto"/>
        <w:right w:val="none" w:sz="0" w:space="0" w:color="auto"/>
      </w:divBdr>
    </w:div>
    <w:div w:id="2063210200">
      <w:bodyDiv w:val="1"/>
      <w:marLeft w:val="0"/>
      <w:marRight w:val="0"/>
      <w:marTop w:val="0"/>
      <w:marBottom w:val="0"/>
      <w:divBdr>
        <w:top w:val="none" w:sz="0" w:space="0" w:color="auto"/>
        <w:left w:val="none" w:sz="0" w:space="0" w:color="auto"/>
        <w:bottom w:val="none" w:sz="0" w:space="0" w:color="auto"/>
        <w:right w:val="none" w:sz="0" w:space="0" w:color="auto"/>
      </w:divBdr>
      <w:divsChild>
        <w:div w:id="1756785840">
          <w:marLeft w:val="0"/>
          <w:marRight w:val="0"/>
          <w:marTop w:val="0"/>
          <w:marBottom w:val="0"/>
          <w:divBdr>
            <w:top w:val="none" w:sz="0" w:space="0" w:color="auto"/>
            <w:left w:val="none" w:sz="0" w:space="0" w:color="auto"/>
            <w:bottom w:val="none" w:sz="0" w:space="0" w:color="auto"/>
            <w:right w:val="none" w:sz="0" w:space="0" w:color="auto"/>
          </w:divBdr>
        </w:div>
        <w:div w:id="1092773517">
          <w:marLeft w:val="0"/>
          <w:marRight w:val="0"/>
          <w:marTop w:val="0"/>
          <w:marBottom w:val="0"/>
          <w:divBdr>
            <w:top w:val="none" w:sz="0" w:space="0" w:color="auto"/>
            <w:left w:val="none" w:sz="0" w:space="0" w:color="auto"/>
            <w:bottom w:val="none" w:sz="0" w:space="0" w:color="auto"/>
            <w:right w:val="none" w:sz="0" w:space="0" w:color="auto"/>
          </w:divBdr>
        </w:div>
        <w:div w:id="1298531965">
          <w:marLeft w:val="0"/>
          <w:marRight w:val="0"/>
          <w:marTop w:val="0"/>
          <w:marBottom w:val="0"/>
          <w:divBdr>
            <w:top w:val="none" w:sz="0" w:space="0" w:color="auto"/>
            <w:left w:val="none" w:sz="0" w:space="0" w:color="auto"/>
            <w:bottom w:val="none" w:sz="0" w:space="0" w:color="auto"/>
            <w:right w:val="none" w:sz="0" w:space="0" w:color="auto"/>
          </w:divBdr>
        </w:div>
        <w:div w:id="1951820528">
          <w:marLeft w:val="0"/>
          <w:marRight w:val="0"/>
          <w:marTop w:val="0"/>
          <w:marBottom w:val="0"/>
          <w:divBdr>
            <w:top w:val="none" w:sz="0" w:space="0" w:color="auto"/>
            <w:left w:val="none" w:sz="0" w:space="0" w:color="auto"/>
            <w:bottom w:val="none" w:sz="0" w:space="0" w:color="auto"/>
            <w:right w:val="none" w:sz="0" w:space="0" w:color="auto"/>
          </w:divBdr>
        </w:div>
        <w:div w:id="743796367">
          <w:marLeft w:val="0"/>
          <w:marRight w:val="0"/>
          <w:marTop w:val="0"/>
          <w:marBottom w:val="0"/>
          <w:divBdr>
            <w:top w:val="none" w:sz="0" w:space="0" w:color="auto"/>
            <w:left w:val="none" w:sz="0" w:space="0" w:color="auto"/>
            <w:bottom w:val="none" w:sz="0" w:space="0" w:color="auto"/>
            <w:right w:val="none" w:sz="0" w:space="0" w:color="auto"/>
          </w:divBdr>
        </w:div>
        <w:div w:id="289551100">
          <w:marLeft w:val="0"/>
          <w:marRight w:val="0"/>
          <w:marTop w:val="0"/>
          <w:marBottom w:val="0"/>
          <w:divBdr>
            <w:top w:val="none" w:sz="0" w:space="0" w:color="auto"/>
            <w:left w:val="none" w:sz="0" w:space="0" w:color="auto"/>
            <w:bottom w:val="none" w:sz="0" w:space="0" w:color="auto"/>
            <w:right w:val="none" w:sz="0" w:space="0" w:color="auto"/>
          </w:divBdr>
        </w:div>
        <w:div w:id="223640064">
          <w:marLeft w:val="0"/>
          <w:marRight w:val="0"/>
          <w:marTop w:val="0"/>
          <w:marBottom w:val="0"/>
          <w:divBdr>
            <w:top w:val="none" w:sz="0" w:space="0" w:color="auto"/>
            <w:left w:val="none" w:sz="0" w:space="0" w:color="auto"/>
            <w:bottom w:val="none" w:sz="0" w:space="0" w:color="auto"/>
            <w:right w:val="none" w:sz="0" w:space="0" w:color="auto"/>
          </w:divBdr>
        </w:div>
      </w:divsChild>
    </w:div>
    <w:div w:id="2086147467">
      <w:bodyDiv w:val="1"/>
      <w:marLeft w:val="0"/>
      <w:marRight w:val="0"/>
      <w:marTop w:val="0"/>
      <w:marBottom w:val="0"/>
      <w:divBdr>
        <w:top w:val="none" w:sz="0" w:space="0" w:color="auto"/>
        <w:left w:val="none" w:sz="0" w:space="0" w:color="auto"/>
        <w:bottom w:val="none" w:sz="0" w:space="0" w:color="auto"/>
        <w:right w:val="none" w:sz="0" w:space="0" w:color="auto"/>
      </w:divBdr>
      <w:divsChild>
        <w:div w:id="1294290718">
          <w:marLeft w:val="0"/>
          <w:marRight w:val="0"/>
          <w:marTop w:val="0"/>
          <w:marBottom w:val="0"/>
          <w:divBdr>
            <w:top w:val="none" w:sz="0" w:space="0" w:color="auto"/>
            <w:left w:val="none" w:sz="0" w:space="0" w:color="auto"/>
            <w:bottom w:val="none" w:sz="0" w:space="0" w:color="auto"/>
            <w:right w:val="none" w:sz="0" w:space="0" w:color="auto"/>
          </w:divBdr>
        </w:div>
        <w:div w:id="1523979422">
          <w:marLeft w:val="0"/>
          <w:marRight w:val="0"/>
          <w:marTop w:val="0"/>
          <w:marBottom w:val="0"/>
          <w:divBdr>
            <w:top w:val="none" w:sz="0" w:space="0" w:color="auto"/>
            <w:left w:val="none" w:sz="0" w:space="0" w:color="auto"/>
            <w:bottom w:val="none" w:sz="0" w:space="0" w:color="auto"/>
            <w:right w:val="none" w:sz="0" w:space="0" w:color="auto"/>
          </w:divBdr>
        </w:div>
        <w:div w:id="2132936012">
          <w:marLeft w:val="0"/>
          <w:marRight w:val="0"/>
          <w:marTop w:val="0"/>
          <w:marBottom w:val="0"/>
          <w:divBdr>
            <w:top w:val="none" w:sz="0" w:space="0" w:color="auto"/>
            <w:left w:val="none" w:sz="0" w:space="0" w:color="auto"/>
            <w:bottom w:val="none" w:sz="0" w:space="0" w:color="auto"/>
            <w:right w:val="none" w:sz="0" w:space="0" w:color="auto"/>
          </w:divBdr>
        </w:div>
        <w:div w:id="104433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Hinzer, Bianca Korinna</dc:creator>
  <cp:keywords/>
  <dc:description/>
  <cp:lastModifiedBy>Hinzer, Bianca Korinna</cp:lastModifiedBy>
  <cp:revision>5</cp:revision>
  <dcterms:created xsi:type="dcterms:W3CDTF">2015-12-01T14:10:00Z</dcterms:created>
  <dcterms:modified xsi:type="dcterms:W3CDTF">2015-12-03T09:10:00Z</dcterms:modified>
</cp:coreProperties>
</file>