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top w:val="single" w:sz="48" w:space="0" w:color="FFCC00"/>
        </w:tblBorders>
        <w:tblLayout w:type="fixed"/>
        <w:tblCellMar>
          <w:left w:w="70" w:type="dxa"/>
          <w:right w:w="70" w:type="dxa"/>
        </w:tblCellMar>
        <w:tblLook w:val="0000" w:firstRow="0" w:lastRow="0" w:firstColumn="0" w:lastColumn="0" w:noHBand="0" w:noVBand="0"/>
      </w:tblPr>
      <w:tblGrid>
        <w:gridCol w:w="1617"/>
        <w:gridCol w:w="651"/>
        <w:gridCol w:w="2977"/>
        <w:gridCol w:w="2326"/>
        <w:gridCol w:w="2919"/>
      </w:tblGrid>
      <w:tr w:rsidR="00263CBD">
        <w:trPr>
          <w:trHeight w:val="1843"/>
        </w:trPr>
        <w:tc>
          <w:tcPr>
            <w:tcW w:w="5245" w:type="dxa"/>
            <w:gridSpan w:val="3"/>
            <w:tcBorders>
              <w:top w:val="single" w:sz="48" w:space="0" w:color="FFCC00"/>
              <w:left w:val="single" w:sz="48" w:space="0" w:color="FFCC00"/>
              <w:bottom w:val="single" w:sz="4" w:space="0" w:color="000000"/>
            </w:tcBorders>
            <w:shd w:val="clear" w:color="FF0000" w:fill="auto"/>
            <w:vAlign w:val="center"/>
          </w:tcPr>
          <w:p w:rsidR="00263CBD" w:rsidRDefault="00263CBD">
            <w:pPr>
              <w:pStyle w:val="berschrift4"/>
              <w:spacing w:before="120" w:line="240" w:lineRule="atLeast"/>
              <w:ind w:left="74"/>
              <w:jc w:val="left"/>
              <w:rPr>
                <w:rFonts w:ascii="Arial" w:hAnsi="Arial" w:cs="Arial"/>
              </w:rPr>
            </w:pPr>
            <w:r>
              <w:rPr>
                <w:rFonts w:ascii="Arial" w:hAnsi="Arial" w:cs="Arial"/>
              </w:rPr>
              <w:t>Betriebsanweisung für Tätigkeiten mit Gefahrstoffen</w:t>
            </w:r>
          </w:p>
          <w:p w:rsidR="00263CBD" w:rsidRDefault="00263CBD">
            <w:pPr>
              <w:spacing w:before="120" w:line="240" w:lineRule="atLeast"/>
              <w:rPr>
                <w:rFonts w:ascii="Arial" w:hAnsi="Arial" w:cs="Arial"/>
                <w:color w:val="000000"/>
                <w:sz w:val="46"/>
              </w:rPr>
            </w:pPr>
            <w:r>
              <w:rPr>
                <w:rFonts w:ascii="Arial" w:hAnsi="Arial" w:cs="Arial"/>
                <w:sz w:val="28"/>
              </w:rPr>
              <w:t xml:space="preserve"> gem. § 14 GefStoffV</w:t>
            </w:r>
            <w:r>
              <w:rPr>
                <w:rFonts w:ascii="Arial" w:hAnsi="Arial" w:cs="Arial"/>
                <w:noProof/>
                <w:sz w:val="46"/>
              </w:rPr>
              <w:t xml:space="preserve"> </w:t>
            </w:r>
          </w:p>
          <w:p w:rsidR="00263CBD" w:rsidRDefault="00263CBD">
            <w:pPr>
              <w:spacing w:line="160" w:lineRule="atLeast"/>
              <w:rPr>
                <w:rFonts w:ascii="Arial" w:hAnsi="Arial" w:cs="Arial"/>
                <w:spacing w:val="10"/>
                <w:sz w:val="12"/>
              </w:rPr>
            </w:pPr>
          </w:p>
        </w:tc>
        <w:tc>
          <w:tcPr>
            <w:tcW w:w="5245" w:type="dxa"/>
            <w:gridSpan w:val="2"/>
            <w:tcBorders>
              <w:top w:val="single" w:sz="48" w:space="0" w:color="FFCC00"/>
              <w:bottom w:val="single" w:sz="4" w:space="0" w:color="000000"/>
              <w:right w:val="single" w:sz="48" w:space="0" w:color="FFCC00"/>
            </w:tcBorders>
            <w:shd w:val="clear" w:color="FF0000" w:fill="auto"/>
          </w:tcPr>
          <w:p w:rsidR="00263CBD" w:rsidRDefault="00476DDA">
            <w:pPr>
              <w:spacing w:after="120"/>
              <w:jc w:val="center"/>
              <w:rPr>
                <w:rFonts w:ascii="Arial" w:hAnsi="Arial" w:cs="Arial"/>
              </w:rPr>
            </w:pPr>
            <w:r>
              <w:rPr>
                <w:rFonts w:ascii="Arial" w:hAnsi="Arial" w:cs="Arial"/>
                <w:noProof/>
              </w:rPr>
              <w:drawing>
                <wp:anchor distT="0" distB="0" distL="114300" distR="114300" simplePos="0" relativeHeight="251656704" behindDoc="0" locked="0" layoutInCell="1" allowOverlap="1">
                  <wp:simplePos x="0" y="0"/>
                  <wp:positionH relativeFrom="column">
                    <wp:posOffset>1325880</wp:posOffset>
                  </wp:positionH>
                  <wp:positionV relativeFrom="paragraph">
                    <wp:posOffset>38100</wp:posOffset>
                  </wp:positionV>
                  <wp:extent cx="1803400" cy="981075"/>
                  <wp:effectExtent l="0" t="0" r="0" b="0"/>
                  <wp:wrapNone/>
                  <wp:docPr id="12" name="Bild 1" descr="K:\logos\Goethe-logo-neu\0-basisversion\logo-sw-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logos\Goethe-logo-neu\0-basisversion\logo-sw-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3CBD">
        <w:tc>
          <w:tcPr>
            <w:tcW w:w="10490" w:type="dxa"/>
            <w:gridSpan w:val="5"/>
            <w:tcBorders>
              <w:top w:val="single" w:sz="4" w:space="0" w:color="000000"/>
              <w:left w:val="single" w:sz="48" w:space="0" w:color="FFCC00"/>
              <w:bottom w:val="nil"/>
              <w:right w:val="single" w:sz="48" w:space="0" w:color="FFCC00"/>
            </w:tcBorders>
            <w:shd w:val="clear" w:color="FF0000" w:fill="auto"/>
          </w:tcPr>
          <w:p w:rsidR="00263CBD" w:rsidRDefault="00263CBD">
            <w:pPr>
              <w:pStyle w:val="berschrift4"/>
              <w:spacing w:before="120"/>
              <w:jc w:val="left"/>
              <w:rPr>
                <w:rFonts w:ascii="Arial" w:hAnsi="Arial" w:cs="Arial"/>
              </w:rPr>
            </w:pPr>
            <w:r>
              <w:rPr>
                <w:rFonts w:ascii="Arial" w:hAnsi="Arial" w:cs="Arial"/>
                <w:b w:val="0"/>
              </w:rPr>
              <w:t>Geltungsbereich:</w:t>
            </w:r>
            <w:r>
              <w:rPr>
                <w:rFonts w:ascii="Arial" w:hAnsi="Arial" w:cs="Arial"/>
              </w:rPr>
              <w:t xml:space="preserve"> </w:t>
            </w:r>
            <w:r w:rsidRPr="00024253">
              <w:rPr>
                <w:rFonts w:ascii="Arial" w:hAnsi="Arial" w:cs="Arial"/>
                <w:b w:val="0"/>
              </w:rPr>
              <w:t xml:space="preserve">Institut für </w:t>
            </w:r>
            <w:r w:rsidR="00024253">
              <w:rPr>
                <w:rFonts w:ascii="Arial" w:hAnsi="Arial" w:cs="Arial"/>
                <w:b w:val="0"/>
              </w:rPr>
              <w:t>…</w:t>
            </w:r>
          </w:p>
          <w:p w:rsidR="00263CBD" w:rsidRDefault="00263CBD">
            <w:pPr>
              <w:rPr>
                <w:rFonts w:ascii="Arial" w:hAnsi="Arial" w:cs="Arial"/>
              </w:rPr>
            </w:pPr>
          </w:p>
          <w:p w:rsidR="00263CBD" w:rsidRDefault="00263CBD" w:rsidP="00024253">
            <w:pPr>
              <w:rPr>
                <w:rFonts w:ascii="Arial" w:hAnsi="Arial" w:cs="Arial"/>
              </w:rPr>
            </w:pPr>
            <w:r>
              <w:rPr>
                <w:rFonts w:ascii="Arial" w:hAnsi="Arial" w:cs="Arial"/>
              </w:rPr>
              <w:t>Bereichsverantwortliche</w:t>
            </w:r>
            <w:r w:rsidR="008A457D">
              <w:rPr>
                <w:rFonts w:ascii="Arial" w:hAnsi="Arial" w:cs="Arial"/>
              </w:rPr>
              <w:t>*</w:t>
            </w:r>
            <w:r>
              <w:rPr>
                <w:rFonts w:ascii="Arial" w:hAnsi="Arial" w:cs="Arial"/>
              </w:rPr>
              <w:t xml:space="preserve">r: </w:t>
            </w:r>
          </w:p>
          <w:p w:rsidR="00F640AB" w:rsidRDefault="00F640AB" w:rsidP="00F640AB">
            <w:pPr>
              <w:jc w:val="center"/>
              <w:rPr>
                <w:color w:val="FF0000"/>
              </w:rPr>
            </w:pPr>
          </w:p>
          <w:p w:rsidR="00024253" w:rsidRPr="00F640AB" w:rsidRDefault="00F640AB" w:rsidP="00F640AB">
            <w:pPr>
              <w:jc w:val="center"/>
              <w:rPr>
                <w:rFonts w:ascii="Arial" w:hAnsi="Arial" w:cs="Arial"/>
                <w:i/>
                <w:sz w:val="24"/>
                <w:szCs w:val="24"/>
              </w:rPr>
            </w:pPr>
            <w:r w:rsidRPr="00F640AB">
              <w:rPr>
                <w:rFonts w:ascii="Arial" w:hAnsi="Arial" w:cs="Arial"/>
                <w:i/>
                <w:color w:val="FF0000"/>
                <w:sz w:val="24"/>
                <w:szCs w:val="24"/>
              </w:rPr>
              <w:t>Dieser Entwurf ist an den jeweiligen Arbeitsplatz anzupassen.</w:t>
            </w:r>
          </w:p>
        </w:tc>
      </w:tr>
      <w:tr w:rsidR="00263CBD">
        <w:tc>
          <w:tcPr>
            <w:tcW w:w="10490" w:type="dxa"/>
            <w:gridSpan w:val="5"/>
            <w:tcBorders>
              <w:top w:val="nil"/>
              <w:left w:val="single" w:sz="48" w:space="0" w:color="FFCC00"/>
              <w:right w:val="single" w:sz="48" w:space="0" w:color="FFCC00"/>
            </w:tcBorders>
            <w:shd w:val="clear" w:color="FF0000" w:fill="FFCC00"/>
          </w:tcPr>
          <w:p w:rsidR="00263CBD" w:rsidRDefault="00263CBD">
            <w:pPr>
              <w:pStyle w:val="berschrift4"/>
              <w:rPr>
                <w:rFonts w:ascii="Arial" w:hAnsi="Arial" w:cs="Arial"/>
              </w:rPr>
            </w:pPr>
            <w:r>
              <w:rPr>
                <w:rFonts w:ascii="Arial" w:hAnsi="Arial" w:cs="Arial"/>
              </w:rPr>
              <w:t>Gefahrstoffbezeichnung</w:t>
            </w:r>
          </w:p>
        </w:tc>
      </w:tr>
      <w:tr w:rsidR="00263CBD">
        <w:trPr>
          <w:trHeight w:val="555"/>
        </w:trPr>
        <w:tc>
          <w:tcPr>
            <w:tcW w:w="10490" w:type="dxa"/>
            <w:gridSpan w:val="5"/>
            <w:tcBorders>
              <w:top w:val="nil"/>
              <w:left w:val="single" w:sz="48" w:space="0" w:color="FFCC00"/>
              <w:right w:val="single" w:sz="48" w:space="0" w:color="FFCC00"/>
            </w:tcBorders>
            <w:shd w:val="clear" w:color="FF0000" w:fill="auto"/>
          </w:tcPr>
          <w:p w:rsidR="00263CBD" w:rsidRDefault="00263CBD">
            <w:pPr>
              <w:pStyle w:val="berschrift4"/>
              <w:spacing w:before="120"/>
              <w:rPr>
                <w:rFonts w:ascii="Arial" w:hAnsi="Arial" w:cs="Arial"/>
                <w:b w:val="0"/>
                <w:sz w:val="30"/>
              </w:rPr>
            </w:pPr>
            <w:r>
              <w:rPr>
                <w:rFonts w:ascii="Arial" w:hAnsi="Arial" w:cs="Arial"/>
                <w:b w:val="0"/>
                <w:sz w:val="30"/>
              </w:rPr>
              <w:t xml:space="preserve">Fluorwasserstoff, wässrige Lösung; </w:t>
            </w:r>
            <w:r w:rsidRPr="007D6A00">
              <w:rPr>
                <w:rFonts w:ascii="Arial" w:hAnsi="Arial" w:cs="Arial"/>
                <w:sz w:val="30"/>
              </w:rPr>
              <w:t>Flusssäure</w:t>
            </w:r>
          </w:p>
          <w:p w:rsidR="00263CBD" w:rsidRDefault="00263CBD">
            <w:pPr>
              <w:rPr>
                <w:rFonts w:ascii="Arial" w:hAnsi="Arial" w:cs="Arial"/>
              </w:rPr>
            </w:pPr>
          </w:p>
        </w:tc>
      </w:tr>
      <w:tr w:rsidR="00263CBD">
        <w:tc>
          <w:tcPr>
            <w:tcW w:w="10490" w:type="dxa"/>
            <w:gridSpan w:val="5"/>
            <w:tcBorders>
              <w:top w:val="nil"/>
              <w:left w:val="single" w:sz="48" w:space="0" w:color="FFCC00"/>
              <w:right w:val="single" w:sz="48" w:space="0" w:color="FFCC00"/>
            </w:tcBorders>
            <w:shd w:val="clear" w:color="FF0000" w:fill="FFCC00"/>
          </w:tcPr>
          <w:p w:rsidR="00263CBD" w:rsidRDefault="00263CBD">
            <w:pPr>
              <w:pStyle w:val="berschrift4"/>
              <w:spacing w:before="120"/>
              <w:rPr>
                <w:rFonts w:ascii="Arial" w:hAnsi="Arial" w:cs="Arial"/>
              </w:rPr>
            </w:pPr>
            <w:r>
              <w:rPr>
                <w:rFonts w:ascii="Arial" w:hAnsi="Arial" w:cs="Arial"/>
              </w:rPr>
              <w:t>Gefahr für Mensch und Umwelt</w:t>
            </w:r>
          </w:p>
        </w:tc>
      </w:tr>
      <w:tr w:rsidR="007D6A00" w:rsidTr="007D6A00">
        <w:trPr>
          <w:trHeight w:val="4229"/>
        </w:trPr>
        <w:tc>
          <w:tcPr>
            <w:tcW w:w="2268" w:type="dxa"/>
            <w:gridSpan w:val="2"/>
            <w:tcBorders>
              <w:top w:val="nil"/>
              <w:left w:val="single" w:sz="48" w:space="0" w:color="FFCC00"/>
              <w:bottom w:val="nil"/>
            </w:tcBorders>
            <w:shd w:val="clear" w:color="FF0000" w:fill="auto"/>
          </w:tcPr>
          <w:p w:rsidR="007D6A00" w:rsidRDefault="00476DDA">
            <w:pPr>
              <w:tabs>
                <w:tab w:val="center" w:pos="6096"/>
              </w:tabs>
              <w:jc w:val="center"/>
              <w:rPr>
                <w:rFonts w:ascii="Arial" w:hAnsi="Arial" w:cs="Arial"/>
              </w:rPr>
            </w:pPr>
            <w:r>
              <w:rPr>
                <w:rFonts w:ascii="Arial" w:hAnsi="Arial" w:cs="Arial"/>
                <w:noProof/>
              </w:rPr>
              <w:drawing>
                <wp:inline distT="0" distB="0" distL="0" distR="0">
                  <wp:extent cx="1222375" cy="1231265"/>
                  <wp:effectExtent l="0" t="0" r="0" b="0"/>
                  <wp:docPr id="1" name="Bild 1"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375" cy="1231265"/>
                          </a:xfrm>
                          <a:prstGeom prst="rect">
                            <a:avLst/>
                          </a:prstGeom>
                          <a:noFill/>
                          <a:ln>
                            <a:noFill/>
                          </a:ln>
                        </pic:spPr>
                      </pic:pic>
                    </a:graphicData>
                  </a:graphic>
                </wp:inline>
              </w:drawing>
            </w:r>
          </w:p>
          <w:p w:rsidR="007D6A00" w:rsidRDefault="00476DDA">
            <w:pPr>
              <w:tabs>
                <w:tab w:val="center" w:pos="6096"/>
              </w:tabs>
              <w:jc w:val="center"/>
              <w:rPr>
                <w:rFonts w:ascii="Arial" w:hAnsi="Arial" w:cs="Arial"/>
                <w:b/>
              </w:rPr>
            </w:pPr>
            <w:r>
              <w:rPr>
                <w:rFonts w:ascii="Arial" w:hAnsi="Arial" w:cs="Arial"/>
                <w:noProof/>
              </w:rPr>
              <w:drawing>
                <wp:inline distT="0" distB="0" distL="0" distR="0">
                  <wp:extent cx="1203960" cy="1203960"/>
                  <wp:effectExtent l="0" t="0" r="0" b="0"/>
                  <wp:docPr id="2" name="Bild 2" descr="ac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d_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rsidR="007D6A00" w:rsidRPr="007D6A00" w:rsidRDefault="007D6A00" w:rsidP="007D6A00">
            <w:pPr>
              <w:keepNext/>
              <w:tabs>
                <w:tab w:val="left" w:pos="2694"/>
                <w:tab w:val="left" w:pos="5387"/>
                <w:tab w:val="left" w:pos="6946"/>
              </w:tabs>
              <w:jc w:val="center"/>
              <w:rPr>
                <w:rFonts w:ascii="Arial" w:hAnsi="Arial" w:cs="Arial"/>
                <w:b/>
                <w:sz w:val="24"/>
                <w:szCs w:val="24"/>
              </w:rPr>
            </w:pPr>
            <w:r>
              <w:rPr>
                <w:rFonts w:ascii="Arial" w:hAnsi="Arial" w:cs="Arial"/>
                <w:b/>
                <w:sz w:val="24"/>
                <w:szCs w:val="24"/>
              </w:rPr>
              <w:t>Gefahr</w:t>
            </w:r>
          </w:p>
        </w:tc>
        <w:tc>
          <w:tcPr>
            <w:tcW w:w="8222" w:type="dxa"/>
            <w:gridSpan w:val="3"/>
            <w:tcBorders>
              <w:top w:val="nil"/>
              <w:bottom w:val="nil"/>
              <w:right w:val="single" w:sz="48" w:space="0" w:color="FFCC00"/>
            </w:tcBorders>
            <w:shd w:val="clear" w:color="FF0000" w:fill="auto"/>
          </w:tcPr>
          <w:p w:rsidR="007D6A00" w:rsidRPr="007B62D7" w:rsidRDefault="007D6A00" w:rsidP="00B150F5">
            <w:pPr>
              <w:numPr>
                <w:ilvl w:val="0"/>
                <w:numId w:val="5"/>
              </w:numPr>
              <w:rPr>
                <w:rFonts w:ascii="Arial" w:hAnsi="Arial" w:cs="Arial"/>
              </w:rPr>
            </w:pPr>
            <w:r w:rsidRPr="007B62D7">
              <w:rPr>
                <w:rFonts w:ascii="Arial" w:hAnsi="Arial" w:cs="Arial"/>
                <w:b/>
                <w:color w:val="000000"/>
              </w:rPr>
              <w:t>L</w:t>
            </w:r>
            <w:r w:rsidR="00B150F5">
              <w:rPr>
                <w:rFonts w:ascii="Arial" w:hAnsi="Arial" w:cs="Arial"/>
                <w:b/>
                <w:color w:val="000000"/>
              </w:rPr>
              <w:t>EBENSGEFAHR</w:t>
            </w:r>
            <w:r w:rsidRPr="007B62D7">
              <w:rPr>
                <w:rFonts w:ascii="Arial" w:hAnsi="Arial" w:cs="Arial"/>
                <w:b/>
                <w:color w:val="000000"/>
              </w:rPr>
              <w:t xml:space="preserve"> bei Verschlucken, Hautkontakt oder Einatmen. </w:t>
            </w:r>
            <w:r w:rsidR="007B62D7">
              <w:rPr>
                <w:rFonts w:ascii="Arial" w:hAnsi="Arial" w:cs="Arial"/>
                <w:color w:val="000000"/>
              </w:rPr>
              <w:t>(H300+H310+</w:t>
            </w:r>
            <w:r w:rsidRPr="007B62D7">
              <w:rPr>
                <w:rFonts w:ascii="Arial" w:hAnsi="Arial" w:cs="Arial"/>
                <w:color w:val="000000"/>
              </w:rPr>
              <w:t>H330)</w:t>
            </w:r>
          </w:p>
          <w:p w:rsidR="007D6A00" w:rsidRPr="007B62D7" w:rsidRDefault="007D6A00" w:rsidP="00B150F5">
            <w:pPr>
              <w:numPr>
                <w:ilvl w:val="0"/>
                <w:numId w:val="5"/>
              </w:numPr>
              <w:rPr>
                <w:rFonts w:ascii="Arial" w:hAnsi="Arial" w:cs="Arial"/>
              </w:rPr>
            </w:pPr>
            <w:r w:rsidRPr="007B62D7">
              <w:rPr>
                <w:rFonts w:ascii="Arial" w:hAnsi="Arial" w:cs="Arial"/>
                <w:b/>
                <w:color w:val="000000"/>
              </w:rPr>
              <w:t xml:space="preserve">Verursacht schwere Verätzungen der Haut und schwere Augenschäden. </w:t>
            </w:r>
            <w:r w:rsidRPr="007B62D7">
              <w:rPr>
                <w:rFonts w:ascii="Arial" w:hAnsi="Arial" w:cs="Arial"/>
                <w:color w:val="000000"/>
              </w:rPr>
              <w:t>(H314)</w:t>
            </w:r>
          </w:p>
          <w:p w:rsidR="007D6A00" w:rsidRPr="00B150F5" w:rsidRDefault="007D6A00" w:rsidP="00B150F5">
            <w:pPr>
              <w:numPr>
                <w:ilvl w:val="0"/>
                <w:numId w:val="5"/>
              </w:numPr>
              <w:rPr>
                <w:rFonts w:ascii="Arial" w:hAnsi="Arial" w:cs="Arial"/>
              </w:rPr>
            </w:pPr>
            <w:r w:rsidRPr="007B62D7">
              <w:rPr>
                <w:rFonts w:ascii="Arial" w:hAnsi="Arial" w:cs="Arial"/>
                <w:color w:val="000000"/>
              </w:rPr>
              <w:t>Wirkt ätzend auf die Atemwege. (EUH071)</w:t>
            </w:r>
          </w:p>
          <w:p w:rsidR="00B150F5" w:rsidRPr="007B62D7" w:rsidRDefault="00B150F5" w:rsidP="00B150F5">
            <w:pPr>
              <w:ind w:left="283"/>
              <w:rPr>
                <w:rFonts w:ascii="Arial" w:hAnsi="Arial" w:cs="Arial"/>
              </w:rPr>
            </w:pPr>
          </w:p>
          <w:p w:rsidR="007D6A00" w:rsidRPr="007B62D7" w:rsidRDefault="007D6A00">
            <w:pPr>
              <w:numPr>
                <w:ilvl w:val="0"/>
                <w:numId w:val="5"/>
              </w:numPr>
              <w:rPr>
                <w:rFonts w:ascii="Arial" w:hAnsi="Arial" w:cs="Arial"/>
              </w:rPr>
            </w:pPr>
            <w:r w:rsidRPr="007B62D7">
              <w:rPr>
                <w:rFonts w:ascii="Arial" w:hAnsi="Arial" w:cs="Arial"/>
              </w:rPr>
              <w:t>Hautverätzungen verlaufen ohne Warnschmerz oft scheinbar glimpflich, um dann Stunden oder sogar Tage danach eine äußerst schmerzhafte, verspätete Tiefenwirkung zu entfalten. Es bilden sich dann sehr schlecht heilende Geschwüre auf der Haut und den Schleimhäuten, begleitet von starken Schmerzen. In letzter Konsequenz müssen u.U. später sogar betroffene Gliedmaßen amputiert werden, wenn die Schädigung bis auf bzw. in den Knochen hineinreicht! Es gibt Berichte von Todesfällen nach kleinräumigen Verätzungen!</w:t>
            </w:r>
          </w:p>
          <w:p w:rsidR="007D6A00" w:rsidRPr="007B62D7" w:rsidRDefault="007D6A00">
            <w:pPr>
              <w:numPr>
                <w:ilvl w:val="0"/>
                <w:numId w:val="5"/>
              </w:numPr>
              <w:rPr>
                <w:rFonts w:ascii="Arial" w:hAnsi="Arial" w:cs="Arial"/>
              </w:rPr>
            </w:pPr>
            <w:r w:rsidRPr="007B62D7">
              <w:rPr>
                <w:rFonts w:ascii="Arial" w:hAnsi="Arial" w:cs="Arial"/>
              </w:rPr>
              <w:t>Einatmen von Fluorwasserstofflösungen in Form von Aerosolen und Tröpfchen führt zu Schwellung der Schleimhäute von Nase, Rachen und Luftröhre. Nach Latenzzeit können Atemnot, Zyanosen und Bluthusten (Lungenödem) auftreten.</w:t>
            </w:r>
          </w:p>
          <w:p w:rsidR="007D6A00" w:rsidRPr="007B62D7" w:rsidRDefault="007D6A00">
            <w:pPr>
              <w:numPr>
                <w:ilvl w:val="0"/>
                <w:numId w:val="5"/>
              </w:numPr>
              <w:rPr>
                <w:rFonts w:ascii="Arial" w:hAnsi="Arial" w:cs="Arial"/>
              </w:rPr>
            </w:pPr>
            <w:r w:rsidRPr="007B62D7">
              <w:rPr>
                <w:rFonts w:ascii="Arial" w:hAnsi="Arial" w:cs="Arial"/>
              </w:rPr>
              <w:t xml:space="preserve">Greift Glas, Silikat-Keramik und Quarz unter Freisetzung von </w:t>
            </w:r>
            <w:proofErr w:type="spellStart"/>
            <w:r w:rsidRPr="007B62D7">
              <w:rPr>
                <w:rFonts w:ascii="Arial" w:hAnsi="Arial" w:cs="Arial"/>
              </w:rPr>
              <w:t>Siliciumtetrafluorid</w:t>
            </w:r>
            <w:proofErr w:type="spellEnd"/>
            <w:r w:rsidRPr="007B62D7">
              <w:rPr>
                <w:rFonts w:ascii="Arial" w:hAnsi="Arial" w:cs="Arial"/>
              </w:rPr>
              <w:t xml:space="preserve"> an. </w:t>
            </w:r>
          </w:p>
          <w:p w:rsidR="007D6A00" w:rsidRPr="007B62D7" w:rsidRDefault="007B62D7">
            <w:pPr>
              <w:numPr>
                <w:ilvl w:val="0"/>
                <w:numId w:val="5"/>
              </w:numPr>
              <w:rPr>
                <w:rFonts w:ascii="Arial" w:hAnsi="Arial" w:cs="Arial"/>
              </w:rPr>
            </w:pPr>
            <w:r>
              <w:rPr>
                <w:rFonts w:ascii="Arial" w:hAnsi="Arial" w:cs="Arial"/>
              </w:rPr>
              <w:t>Bei Einwirkung auf Metalle u.</w:t>
            </w:r>
            <w:r w:rsidR="007D6A00" w:rsidRPr="007B62D7">
              <w:rPr>
                <w:rFonts w:ascii="Arial" w:hAnsi="Arial" w:cs="Arial"/>
              </w:rPr>
              <w:t xml:space="preserve"> Kontakt mit heißen Flächen kann Wasserstoff entstehen.</w:t>
            </w:r>
          </w:p>
          <w:p w:rsidR="007D6A00" w:rsidRDefault="001B2D41" w:rsidP="00CA11C4">
            <w:pPr>
              <w:numPr>
                <w:ilvl w:val="0"/>
                <w:numId w:val="5"/>
              </w:numPr>
              <w:rPr>
                <w:rFonts w:ascii="Arial" w:hAnsi="Arial" w:cs="Arial"/>
              </w:rPr>
            </w:pPr>
            <w:r w:rsidRPr="006B2CD5">
              <w:rPr>
                <w:rFonts w:ascii="Arial" w:hAnsi="Arial" w:cs="Arial"/>
                <w:color w:val="000000"/>
              </w:rPr>
              <w:t>Wassergefährdungsklasse (WGK) 2</w:t>
            </w:r>
            <w:r>
              <w:rPr>
                <w:color w:val="FF0000"/>
              </w:rPr>
              <w:t xml:space="preserve"> </w:t>
            </w:r>
            <w:r w:rsidR="00CA11C4" w:rsidRPr="00CA11C4">
              <w:rPr>
                <w:rFonts w:ascii="Arial" w:hAnsi="Arial" w:cs="Arial"/>
              </w:rPr>
              <w:t>- deutlich wassergefährdend</w:t>
            </w:r>
          </w:p>
        </w:tc>
      </w:tr>
      <w:tr w:rsidR="00263CBD">
        <w:tc>
          <w:tcPr>
            <w:tcW w:w="10490" w:type="dxa"/>
            <w:gridSpan w:val="5"/>
            <w:tcBorders>
              <w:top w:val="nil"/>
              <w:left w:val="single" w:sz="48" w:space="0" w:color="FFCC00"/>
              <w:right w:val="single" w:sz="48" w:space="0" w:color="FFCC00"/>
            </w:tcBorders>
            <w:shd w:val="clear" w:color="FF0000" w:fill="FFCC00"/>
          </w:tcPr>
          <w:p w:rsidR="00263CBD" w:rsidRDefault="00263CBD">
            <w:pPr>
              <w:pStyle w:val="berschrift4"/>
              <w:rPr>
                <w:rFonts w:ascii="Arial" w:hAnsi="Arial" w:cs="Arial"/>
              </w:rPr>
            </w:pPr>
            <w:r>
              <w:rPr>
                <w:rFonts w:ascii="Arial" w:hAnsi="Arial" w:cs="Arial"/>
              </w:rPr>
              <w:t>Schutzmaßnahmen und Verhaltensregeln</w:t>
            </w:r>
          </w:p>
        </w:tc>
      </w:tr>
      <w:tr w:rsidR="00263CBD" w:rsidTr="00717B71">
        <w:tc>
          <w:tcPr>
            <w:tcW w:w="2268" w:type="dxa"/>
            <w:gridSpan w:val="2"/>
            <w:tcBorders>
              <w:top w:val="nil"/>
              <w:left w:val="single" w:sz="48" w:space="0" w:color="FFCC00"/>
              <w:bottom w:val="single" w:sz="48" w:space="0" w:color="FFCC00"/>
            </w:tcBorders>
            <w:shd w:val="clear" w:color="FF0000" w:fill="auto"/>
          </w:tcPr>
          <w:p w:rsidR="00263CBD" w:rsidRDefault="00263CBD">
            <w:pPr>
              <w:jc w:val="center"/>
              <w:rPr>
                <w:rFonts w:ascii="Arial" w:hAnsi="Arial" w:cs="Arial"/>
              </w:rPr>
            </w:pPr>
          </w:p>
          <w:p w:rsidR="00263CBD" w:rsidRDefault="00476DDA">
            <w:pPr>
              <w:jc w:val="center"/>
              <w:rPr>
                <w:rFonts w:ascii="Arial" w:hAnsi="Arial" w:cs="Arial"/>
              </w:rPr>
            </w:pPr>
            <w:r>
              <w:rPr>
                <w:noProof/>
              </w:rPr>
              <w:drawing>
                <wp:anchor distT="0" distB="0" distL="114300" distR="114300" simplePos="0" relativeHeight="251658752" behindDoc="0" locked="0" layoutInCell="1" allowOverlap="1">
                  <wp:simplePos x="0" y="0"/>
                  <wp:positionH relativeFrom="column">
                    <wp:posOffset>200660</wp:posOffset>
                  </wp:positionH>
                  <wp:positionV relativeFrom="paragraph">
                    <wp:posOffset>236220</wp:posOffset>
                  </wp:positionV>
                  <wp:extent cx="960120" cy="960120"/>
                  <wp:effectExtent l="0" t="0" r="0" b="0"/>
                  <wp:wrapSquare wrapText="bothSides"/>
                  <wp:docPr id="14" name="Bild 14" descr="https://www.bghm.de/fileadmin/_processed_/7/9/csm_M013_Gesichtsschutz_benutzen_43fda75a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ghm.de/fileadmin/_processed_/7/9/csm_M013_Gesichtsschutz_benutzen_43fda75ad9.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185420</wp:posOffset>
                  </wp:positionH>
                  <wp:positionV relativeFrom="paragraph">
                    <wp:posOffset>1234440</wp:posOffset>
                  </wp:positionV>
                  <wp:extent cx="990600" cy="990600"/>
                  <wp:effectExtent l="0" t="0" r="0" b="0"/>
                  <wp:wrapSquare wrapText="bothSides"/>
                  <wp:docPr id="13" name="Bild 13" descr="https://www.bghm.de/fileadmin/_processed_/1/6/csm_M009_Handschutz_benutzen_7503881a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ghm.de/fileadmin/_processed_/1/6/csm_M009_Handschutz_benutzen_7503881a2e.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CBD" w:rsidRDefault="00263CBD">
            <w:pPr>
              <w:pStyle w:val="berschrift4"/>
              <w:rPr>
                <w:rFonts w:ascii="Arial" w:hAnsi="Arial" w:cs="Arial"/>
              </w:rPr>
            </w:pPr>
          </w:p>
        </w:tc>
        <w:tc>
          <w:tcPr>
            <w:tcW w:w="8222" w:type="dxa"/>
            <w:gridSpan w:val="3"/>
            <w:tcBorders>
              <w:top w:val="nil"/>
              <w:bottom w:val="single" w:sz="48" w:space="0" w:color="FFCC00"/>
              <w:right w:val="single" w:sz="48" w:space="0" w:color="FFCC00"/>
            </w:tcBorders>
            <w:shd w:val="clear" w:color="FF0000" w:fill="auto"/>
          </w:tcPr>
          <w:p w:rsidR="00717B71" w:rsidRPr="008A3FCD" w:rsidRDefault="00C7468E" w:rsidP="008A3FCD">
            <w:pPr>
              <w:numPr>
                <w:ilvl w:val="0"/>
                <w:numId w:val="6"/>
              </w:numPr>
              <w:rPr>
                <w:rFonts w:ascii="Arial" w:hAnsi="Arial" w:cs="Arial"/>
                <w:color w:val="000000"/>
              </w:rPr>
            </w:pPr>
            <w:r w:rsidRPr="005855AF">
              <w:rPr>
                <w:rFonts w:ascii="Arial" w:hAnsi="Arial" w:cs="Arial"/>
                <w:b/>
                <w:color w:val="000000"/>
              </w:rPr>
              <w:t xml:space="preserve">Dampf/Aerosol/Nebel nicht einatmen. </w:t>
            </w:r>
            <w:r w:rsidRPr="008A3FCD">
              <w:rPr>
                <w:rFonts w:ascii="Arial" w:hAnsi="Arial" w:cs="Arial"/>
                <w:color w:val="000000"/>
              </w:rPr>
              <w:t>(P260)</w:t>
            </w:r>
          </w:p>
          <w:p w:rsidR="005855AF" w:rsidRPr="00594DA1" w:rsidRDefault="00C7468E" w:rsidP="008A3FCD">
            <w:pPr>
              <w:numPr>
                <w:ilvl w:val="0"/>
                <w:numId w:val="6"/>
              </w:numPr>
              <w:rPr>
                <w:rFonts w:ascii="Arial" w:hAnsi="Arial" w:cs="Arial"/>
                <w:b/>
                <w:color w:val="000000"/>
              </w:rPr>
            </w:pPr>
            <w:r w:rsidRPr="00594DA1">
              <w:rPr>
                <w:rFonts w:ascii="Arial" w:hAnsi="Arial" w:cs="Arial"/>
                <w:b/>
                <w:color w:val="000000"/>
              </w:rPr>
              <w:t>Nicht in die Augen, auf die Haut oder auf die K</w:t>
            </w:r>
            <w:r w:rsidR="008A3FCD" w:rsidRPr="00594DA1">
              <w:rPr>
                <w:rFonts w:ascii="Arial" w:hAnsi="Arial" w:cs="Arial"/>
                <w:b/>
                <w:color w:val="000000"/>
              </w:rPr>
              <w:t xml:space="preserve">leidung gelangen lassen. </w:t>
            </w:r>
            <w:r w:rsidR="008A3FCD" w:rsidRPr="00594DA1">
              <w:rPr>
                <w:rFonts w:ascii="Arial" w:hAnsi="Arial" w:cs="Arial"/>
                <w:color w:val="000000"/>
              </w:rPr>
              <w:t>(P</w:t>
            </w:r>
            <w:r w:rsidR="00717B71" w:rsidRPr="00594DA1">
              <w:rPr>
                <w:rFonts w:ascii="Arial" w:hAnsi="Arial" w:cs="Arial"/>
                <w:color w:val="000000"/>
              </w:rPr>
              <w:t>262)</w:t>
            </w:r>
            <w:r w:rsidR="005855AF" w:rsidRPr="00594DA1">
              <w:rPr>
                <w:rFonts w:ascii="Arial" w:hAnsi="Arial" w:cs="Arial"/>
                <w:b/>
                <w:color w:val="000000"/>
              </w:rPr>
              <w:t xml:space="preserve"> </w:t>
            </w:r>
          </w:p>
          <w:p w:rsidR="005855AF" w:rsidRPr="00594DA1" w:rsidRDefault="005855AF" w:rsidP="008A3FCD">
            <w:pPr>
              <w:numPr>
                <w:ilvl w:val="0"/>
                <w:numId w:val="6"/>
              </w:numPr>
              <w:rPr>
                <w:rFonts w:ascii="Arial" w:hAnsi="Arial" w:cs="Arial"/>
                <w:b/>
                <w:color w:val="000000"/>
              </w:rPr>
            </w:pPr>
            <w:r w:rsidRPr="00594DA1">
              <w:rPr>
                <w:rFonts w:ascii="Arial" w:hAnsi="Arial" w:cs="Arial"/>
                <w:b/>
                <w:color w:val="000000"/>
              </w:rPr>
              <w:t xml:space="preserve">Schutzhandschuhe/Schutzkleidung/Augenschutz/Gesichtsschutz tragen. </w:t>
            </w:r>
            <w:r w:rsidRPr="00594DA1">
              <w:rPr>
                <w:rFonts w:ascii="Arial" w:hAnsi="Arial" w:cs="Arial"/>
                <w:color w:val="000000"/>
              </w:rPr>
              <w:t>(P280)</w:t>
            </w:r>
          </w:p>
          <w:p w:rsidR="005855AF" w:rsidRPr="005855AF" w:rsidRDefault="005855AF" w:rsidP="00024253">
            <w:pPr>
              <w:numPr>
                <w:ilvl w:val="0"/>
                <w:numId w:val="14"/>
              </w:numPr>
              <w:ind w:right="72"/>
              <w:rPr>
                <w:rFonts w:ascii="Arial" w:hAnsi="Arial" w:cs="Arial"/>
              </w:rPr>
            </w:pPr>
            <w:r w:rsidRPr="005855AF">
              <w:rPr>
                <w:rFonts w:ascii="Arial" w:hAnsi="Arial" w:cs="Arial"/>
              </w:rPr>
              <w:t>Dichtschließende Schutzbrille/Gesichtsschutz.</w:t>
            </w:r>
          </w:p>
          <w:p w:rsidR="005855AF" w:rsidRPr="005855AF" w:rsidRDefault="008A3FCD" w:rsidP="00024253">
            <w:pPr>
              <w:numPr>
                <w:ilvl w:val="0"/>
                <w:numId w:val="14"/>
              </w:numPr>
              <w:ind w:right="72"/>
              <w:rPr>
                <w:rFonts w:ascii="Arial" w:hAnsi="Arial" w:cs="Arial"/>
              </w:rPr>
            </w:pPr>
            <w:r>
              <w:rPr>
                <w:rFonts w:ascii="Arial" w:hAnsi="Arial" w:cs="Arial"/>
              </w:rPr>
              <w:t>Schutzhandschuhe aus Butylkautschuk.</w:t>
            </w:r>
            <w:r w:rsidR="005855AF" w:rsidRPr="005855AF">
              <w:rPr>
                <w:rFonts w:ascii="Arial" w:hAnsi="Arial" w:cs="Arial"/>
              </w:rPr>
              <w:t xml:space="preserve"> </w:t>
            </w:r>
            <w:r>
              <w:rPr>
                <w:rFonts w:ascii="Arial" w:hAnsi="Arial" w:cs="Arial"/>
              </w:rPr>
              <w:t>V</w:t>
            </w:r>
            <w:r w:rsidR="005855AF" w:rsidRPr="005855AF">
              <w:rPr>
                <w:rFonts w:ascii="Arial" w:hAnsi="Arial" w:cs="Arial"/>
              </w:rPr>
              <w:t>or Gebrauch Dichtheit prüfen</w:t>
            </w:r>
            <w:r>
              <w:rPr>
                <w:rFonts w:ascii="Arial" w:hAnsi="Arial" w:cs="Arial"/>
              </w:rPr>
              <w:t>!</w:t>
            </w:r>
          </w:p>
          <w:p w:rsidR="005855AF" w:rsidRPr="005855AF" w:rsidRDefault="008A3FCD" w:rsidP="00024253">
            <w:pPr>
              <w:numPr>
                <w:ilvl w:val="0"/>
                <w:numId w:val="14"/>
              </w:numPr>
              <w:ind w:right="72"/>
              <w:rPr>
                <w:rFonts w:ascii="Arial" w:hAnsi="Arial" w:cs="Arial"/>
              </w:rPr>
            </w:pPr>
            <w:r w:rsidRPr="005855AF">
              <w:rPr>
                <w:rFonts w:ascii="Arial" w:hAnsi="Arial" w:cs="Arial"/>
              </w:rPr>
              <w:t>Laborkittel, lange Hosen, geschlossene Schuhe.</w:t>
            </w:r>
            <w:r>
              <w:rPr>
                <w:rFonts w:ascii="Arial" w:hAnsi="Arial" w:cs="Arial"/>
              </w:rPr>
              <w:t xml:space="preserve"> </w:t>
            </w:r>
            <w:r w:rsidR="005855AF" w:rsidRPr="005855AF">
              <w:rPr>
                <w:rFonts w:ascii="Arial" w:hAnsi="Arial" w:cs="Arial"/>
              </w:rPr>
              <w:t xml:space="preserve">Beim Verdünnen bzw. Abfüllen größerer Mengen oder bei Spritzgefahr: Kunststoffschürze. </w:t>
            </w:r>
          </w:p>
          <w:p w:rsidR="0094565F" w:rsidRPr="0094565F" w:rsidRDefault="005855AF" w:rsidP="00024253">
            <w:pPr>
              <w:numPr>
                <w:ilvl w:val="0"/>
                <w:numId w:val="6"/>
              </w:numPr>
              <w:ind w:right="72"/>
              <w:rPr>
                <w:rFonts w:ascii="Arial" w:hAnsi="Arial" w:cs="Arial"/>
              </w:rPr>
            </w:pPr>
            <w:r w:rsidRPr="0094565F">
              <w:rPr>
                <w:rFonts w:ascii="Arial" w:hAnsi="Arial" w:cs="Arial"/>
              </w:rPr>
              <w:t xml:space="preserve">Bei hochkonzentrierten wässrigen </w:t>
            </w:r>
            <w:r w:rsidR="0094565F" w:rsidRPr="0094565F">
              <w:rPr>
                <w:rFonts w:ascii="Arial" w:hAnsi="Arial" w:cs="Arial"/>
              </w:rPr>
              <w:t>Lösungen</w:t>
            </w:r>
            <w:r w:rsidR="00667588">
              <w:rPr>
                <w:rFonts w:ascii="Arial" w:hAnsi="Arial" w:cs="Arial"/>
              </w:rPr>
              <w:t xml:space="preserve"> bzw.</w:t>
            </w:r>
            <w:r w:rsidR="0094565F" w:rsidRPr="0094565F">
              <w:rPr>
                <w:rFonts w:ascii="Arial" w:hAnsi="Arial" w:cs="Arial"/>
              </w:rPr>
              <w:t xml:space="preserve"> Auftreten von Dämpfen/Aerosolen </w:t>
            </w:r>
            <w:r w:rsidRPr="0094565F">
              <w:rPr>
                <w:rFonts w:ascii="Arial" w:hAnsi="Arial" w:cs="Arial"/>
              </w:rPr>
              <w:t>ggf. Atemschutz erforderlich</w:t>
            </w:r>
            <w:r w:rsidR="0094565F" w:rsidRPr="0094565F">
              <w:rPr>
                <w:rFonts w:ascii="Arial" w:hAnsi="Arial" w:cs="Arial"/>
              </w:rPr>
              <w:t>; Empfohlener Filtertyp: Filter E-(P3)</w:t>
            </w:r>
          </w:p>
          <w:p w:rsidR="00717B71" w:rsidRPr="00594DA1" w:rsidRDefault="00C7468E" w:rsidP="00594DA1">
            <w:pPr>
              <w:numPr>
                <w:ilvl w:val="0"/>
                <w:numId w:val="6"/>
              </w:numPr>
              <w:ind w:right="71"/>
              <w:rPr>
                <w:rFonts w:ascii="Arial" w:hAnsi="Arial" w:cs="Arial"/>
                <w:color w:val="000000"/>
                <w:sz w:val="18"/>
                <w:szCs w:val="18"/>
              </w:rPr>
            </w:pPr>
            <w:r w:rsidRPr="0094565F">
              <w:rPr>
                <w:rFonts w:ascii="Arial" w:hAnsi="Arial" w:cs="Arial"/>
                <w:b/>
                <w:color w:val="000000"/>
              </w:rPr>
              <w:t>BEI BERÜHRUNG MIT DER HAUT (oder dem Haar):</w:t>
            </w:r>
            <w:r w:rsidRPr="0094565F">
              <w:rPr>
                <w:rFonts w:ascii="Arial" w:hAnsi="Arial" w:cs="Arial"/>
                <w:color w:val="000000"/>
              </w:rPr>
              <w:t xml:space="preserve"> Alle kontaminierten Kleidungsstücke </w:t>
            </w:r>
            <w:r w:rsidRPr="00594DA1">
              <w:rPr>
                <w:rFonts w:ascii="Arial" w:hAnsi="Arial" w:cs="Arial"/>
                <w:color w:val="000000"/>
              </w:rPr>
              <w:t>sofort ausziehen. Haut mit Wasser abwaschen ode</w:t>
            </w:r>
            <w:r w:rsidR="008A3FCD" w:rsidRPr="00594DA1">
              <w:rPr>
                <w:rFonts w:ascii="Arial" w:hAnsi="Arial" w:cs="Arial"/>
                <w:color w:val="000000"/>
              </w:rPr>
              <w:t xml:space="preserve">r duschen. </w:t>
            </w:r>
            <w:r w:rsidR="008A3FCD" w:rsidRPr="00594DA1">
              <w:rPr>
                <w:rFonts w:ascii="Arial" w:hAnsi="Arial" w:cs="Arial"/>
                <w:color w:val="000000"/>
                <w:sz w:val="18"/>
                <w:szCs w:val="18"/>
              </w:rPr>
              <w:t>(P303+</w:t>
            </w:r>
            <w:r w:rsidR="0094565F" w:rsidRPr="00594DA1">
              <w:rPr>
                <w:rFonts w:ascii="Arial" w:hAnsi="Arial" w:cs="Arial"/>
                <w:color w:val="000000"/>
                <w:sz w:val="18"/>
                <w:szCs w:val="18"/>
              </w:rPr>
              <w:t>P361+</w:t>
            </w:r>
            <w:r w:rsidR="00717B71" w:rsidRPr="00594DA1">
              <w:rPr>
                <w:rFonts w:ascii="Arial" w:hAnsi="Arial" w:cs="Arial"/>
                <w:color w:val="000000"/>
                <w:sz w:val="18"/>
                <w:szCs w:val="18"/>
              </w:rPr>
              <w:t>P353)</w:t>
            </w:r>
          </w:p>
          <w:p w:rsidR="00717B71" w:rsidRPr="00594DA1" w:rsidRDefault="00C7468E" w:rsidP="005855AF">
            <w:pPr>
              <w:numPr>
                <w:ilvl w:val="0"/>
                <w:numId w:val="6"/>
              </w:numPr>
              <w:ind w:right="567"/>
              <w:rPr>
                <w:rFonts w:ascii="Arial" w:hAnsi="Arial" w:cs="Arial"/>
                <w:color w:val="000000"/>
              </w:rPr>
            </w:pPr>
            <w:r w:rsidRPr="00594DA1">
              <w:rPr>
                <w:rFonts w:ascii="Arial" w:hAnsi="Arial" w:cs="Arial"/>
                <w:b/>
                <w:color w:val="000000"/>
              </w:rPr>
              <w:t>Besondere notärztliche Behandlun</w:t>
            </w:r>
            <w:r w:rsidR="00717B71" w:rsidRPr="00594DA1">
              <w:rPr>
                <w:rFonts w:ascii="Arial" w:hAnsi="Arial" w:cs="Arial"/>
                <w:b/>
                <w:color w:val="000000"/>
              </w:rPr>
              <w:t xml:space="preserve">g dringend erforderlich. </w:t>
            </w:r>
            <w:r w:rsidR="00717B71" w:rsidRPr="00594DA1">
              <w:rPr>
                <w:rFonts w:ascii="Arial" w:hAnsi="Arial" w:cs="Arial"/>
                <w:color w:val="000000"/>
              </w:rPr>
              <w:t>(P320)</w:t>
            </w:r>
          </w:p>
          <w:p w:rsidR="00C7468E" w:rsidRPr="00594DA1" w:rsidRDefault="00C7468E" w:rsidP="005855AF">
            <w:pPr>
              <w:numPr>
                <w:ilvl w:val="0"/>
                <w:numId w:val="6"/>
              </w:numPr>
              <w:ind w:right="567"/>
              <w:rPr>
                <w:rFonts w:ascii="Arial" w:hAnsi="Arial" w:cs="Arial"/>
                <w:color w:val="000000"/>
              </w:rPr>
            </w:pPr>
            <w:r w:rsidRPr="00594DA1">
              <w:rPr>
                <w:rFonts w:ascii="Arial" w:hAnsi="Arial" w:cs="Arial"/>
                <w:b/>
                <w:color w:val="000000"/>
              </w:rPr>
              <w:t>An einem gut belüfteten Ort aufbewahren. Behälter d</w:t>
            </w:r>
            <w:r w:rsidR="00717B71" w:rsidRPr="00594DA1">
              <w:rPr>
                <w:rFonts w:ascii="Arial" w:hAnsi="Arial" w:cs="Arial"/>
                <w:b/>
                <w:color w:val="000000"/>
              </w:rPr>
              <w:t xml:space="preserve">icht verschlossen halten. </w:t>
            </w:r>
            <w:r w:rsidR="008A3FCD" w:rsidRPr="00594DA1">
              <w:rPr>
                <w:rFonts w:ascii="Arial" w:hAnsi="Arial" w:cs="Arial"/>
                <w:color w:val="000000"/>
              </w:rPr>
              <w:t>(</w:t>
            </w:r>
            <w:r w:rsidR="00717B71" w:rsidRPr="00594DA1">
              <w:rPr>
                <w:rFonts w:ascii="Arial" w:hAnsi="Arial" w:cs="Arial"/>
                <w:color w:val="000000"/>
              </w:rPr>
              <w:t>P403+</w:t>
            </w:r>
            <w:r w:rsidRPr="00594DA1">
              <w:rPr>
                <w:rFonts w:ascii="Arial" w:hAnsi="Arial" w:cs="Arial"/>
                <w:color w:val="000000"/>
              </w:rPr>
              <w:t>233)</w:t>
            </w:r>
          </w:p>
          <w:p w:rsidR="005855AF" w:rsidRPr="005855AF" w:rsidRDefault="005855AF" w:rsidP="005855AF">
            <w:pPr>
              <w:numPr>
                <w:ilvl w:val="0"/>
                <w:numId w:val="6"/>
              </w:numPr>
              <w:ind w:right="72"/>
              <w:rPr>
                <w:rFonts w:ascii="Arial" w:hAnsi="Arial" w:cs="Arial"/>
              </w:rPr>
            </w:pPr>
            <w:r w:rsidRPr="005855AF">
              <w:rPr>
                <w:rFonts w:ascii="Arial" w:hAnsi="Arial" w:cs="Arial"/>
              </w:rPr>
              <w:t xml:space="preserve">Ausreichende </w:t>
            </w:r>
            <w:proofErr w:type="spellStart"/>
            <w:r w:rsidRPr="005855AF">
              <w:rPr>
                <w:rFonts w:ascii="Arial" w:hAnsi="Arial" w:cs="Arial"/>
              </w:rPr>
              <w:t>Be</w:t>
            </w:r>
            <w:proofErr w:type="spellEnd"/>
            <w:r w:rsidRPr="005855AF">
              <w:rPr>
                <w:rFonts w:ascii="Arial" w:hAnsi="Arial" w:cs="Arial"/>
              </w:rPr>
              <w:t>- und Entlüftung sicherstellen.</w:t>
            </w:r>
          </w:p>
          <w:p w:rsidR="00263CBD" w:rsidRPr="005855AF" w:rsidRDefault="005855AF" w:rsidP="005855AF">
            <w:pPr>
              <w:numPr>
                <w:ilvl w:val="0"/>
                <w:numId w:val="6"/>
              </w:numPr>
              <w:ind w:right="72"/>
              <w:rPr>
                <w:rFonts w:ascii="Arial" w:hAnsi="Arial" w:cs="Arial"/>
              </w:rPr>
            </w:pPr>
            <w:r w:rsidRPr="005855AF">
              <w:rPr>
                <w:rFonts w:ascii="Arial" w:hAnsi="Arial" w:cs="Arial"/>
              </w:rPr>
              <w:t xml:space="preserve">Apparaturen nur im Abzug aufstellen und handhaben. </w:t>
            </w:r>
            <w:r w:rsidR="00263CBD" w:rsidRPr="005855AF">
              <w:rPr>
                <w:rFonts w:ascii="Arial" w:hAnsi="Arial" w:cs="Arial"/>
              </w:rPr>
              <w:t xml:space="preserve">Möglichst in geschlossenen Systemen handhaben. </w:t>
            </w:r>
          </w:p>
          <w:p w:rsidR="00263CBD" w:rsidRPr="005855AF" w:rsidRDefault="005855AF" w:rsidP="005855AF">
            <w:pPr>
              <w:numPr>
                <w:ilvl w:val="0"/>
                <w:numId w:val="6"/>
              </w:numPr>
              <w:ind w:right="72"/>
              <w:rPr>
                <w:rFonts w:ascii="Arial" w:hAnsi="Arial" w:cs="Arial"/>
              </w:rPr>
            </w:pPr>
            <w:r w:rsidRPr="005855AF">
              <w:rPr>
                <w:rFonts w:ascii="Arial" w:hAnsi="Arial" w:cs="Arial"/>
              </w:rPr>
              <w:t>Stoff</w:t>
            </w:r>
            <w:r w:rsidR="008A3FCD">
              <w:rPr>
                <w:rFonts w:ascii="Arial" w:hAnsi="Arial" w:cs="Arial"/>
              </w:rPr>
              <w:t>-</w:t>
            </w:r>
            <w:r w:rsidRPr="005855AF">
              <w:rPr>
                <w:rFonts w:ascii="Arial" w:hAnsi="Arial" w:cs="Arial"/>
              </w:rPr>
              <w:t>/Werkstoff-Unverträglichkeiten beachten.</w:t>
            </w:r>
          </w:p>
          <w:p w:rsidR="00263CBD" w:rsidRPr="005855AF" w:rsidRDefault="00263CBD" w:rsidP="005855AF">
            <w:pPr>
              <w:ind w:right="567"/>
              <w:rPr>
                <w:rFonts w:ascii="Arial" w:hAnsi="Arial" w:cs="Arial"/>
                <w:b/>
                <w:sz w:val="18"/>
                <w:szCs w:val="18"/>
              </w:rPr>
            </w:pPr>
            <w:r w:rsidRPr="005855AF">
              <w:rPr>
                <w:rFonts w:ascii="Arial" w:hAnsi="Arial" w:cs="Arial"/>
                <w:b/>
              </w:rPr>
              <w:t xml:space="preserve">In jedem Arbeitsbereich, in dem mit </w:t>
            </w:r>
            <w:r w:rsidR="005855AF" w:rsidRPr="005855AF">
              <w:rPr>
                <w:rFonts w:ascii="Arial" w:hAnsi="Arial" w:cs="Arial"/>
                <w:b/>
              </w:rPr>
              <w:t>Flus</w:t>
            </w:r>
            <w:r w:rsidR="008A3FCD">
              <w:rPr>
                <w:rFonts w:ascii="Arial" w:hAnsi="Arial" w:cs="Arial"/>
                <w:b/>
              </w:rPr>
              <w:t>s</w:t>
            </w:r>
            <w:r w:rsidR="005855AF" w:rsidRPr="005855AF">
              <w:rPr>
                <w:rFonts w:ascii="Arial" w:hAnsi="Arial" w:cs="Arial"/>
                <w:b/>
              </w:rPr>
              <w:t>säure</w:t>
            </w:r>
            <w:r w:rsidRPr="005855AF">
              <w:rPr>
                <w:rFonts w:ascii="Arial" w:hAnsi="Arial" w:cs="Arial"/>
                <w:b/>
              </w:rPr>
              <w:t xml:space="preserve"> </w:t>
            </w:r>
            <w:r w:rsidR="005855AF" w:rsidRPr="005855AF">
              <w:rPr>
                <w:rFonts w:ascii="Arial" w:hAnsi="Arial" w:cs="Arial"/>
                <w:b/>
              </w:rPr>
              <w:t>umgegangen</w:t>
            </w:r>
            <w:r w:rsidRPr="005855AF">
              <w:rPr>
                <w:rFonts w:ascii="Arial" w:hAnsi="Arial" w:cs="Arial"/>
                <w:b/>
              </w:rPr>
              <w:t xml:space="preserve"> wird, muss </w:t>
            </w:r>
            <w:r w:rsidR="005855AF" w:rsidRPr="005855AF">
              <w:rPr>
                <w:rFonts w:ascii="Arial" w:hAnsi="Arial" w:cs="Arial"/>
                <w:b/>
              </w:rPr>
              <w:t xml:space="preserve">jederzeit 2,5%iges </w:t>
            </w:r>
            <w:proofErr w:type="spellStart"/>
            <w:r w:rsidR="005855AF" w:rsidRPr="005855AF">
              <w:rPr>
                <w:rFonts w:ascii="Arial" w:hAnsi="Arial" w:cs="Arial"/>
                <w:b/>
              </w:rPr>
              <w:t>Calciumgluconat</w:t>
            </w:r>
            <w:proofErr w:type="spellEnd"/>
            <w:r w:rsidR="005855AF" w:rsidRPr="005855AF">
              <w:rPr>
                <w:rFonts w:ascii="Arial" w:hAnsi="Arial" w:cs="Arial"/>
                <w:b/>
              </w:rPr>
              <w:t>-Gel sowie Verbandmaterial (Verbandkasten) verfügbar sein.</w:t>
            </w:r>
          </w:p>
        </w:tc>
      </w:tr>
      <w:tr w:rsidR="00263CBD">
        <w:tc>
          <w:tcPr>
            <w:tcW w:w="10490" w:type="dxa"/>
            <w:gridSpan w:val="5"/>
            <w:tcBorders>
              <w:top w:val="nil"/>
              <w:left w:val="single" w:sz="48" w:space="0" w:color="FFCC00"/>
              <w:right w:val="single" w:sz="48" w:space="0" w:color="FFCC00"/>
            </w:tcBorders>
            <w:shd w:val="clear" w:color="FF0000" w:fill="FFCC00"/>
          </w:tcPr>
          <w:p w:rsidR="00263CBD" w:rsidRDefault="00263CBD">
            <w:pPr>
              <w:pStyle w:val="berschrift4"/>
              <w:spacing w:before="120"/>
              <w:rPr>
                <w:rFonts w:ascii="Arial" w:hAnsi="Arial" w:cs="Arial"/>
              </w:rPr>
            </w:pPr>
            <w:r>
              <w:rPr>
                <w:rFonts w:ascii="Arial" w:hAnsi="Arial" w:cs="Arial"/>
              </w:rPr>
              <w:lastRenderedPageBreak/>
              <w:t>Verhalten im Gefahrfall</w:t>
            </w:r>
          </w:p>
        </w:tc>
      </w:tr>
      <w:tr w:rsidR="003136A6" w:rsidTr="003631C3">
        <w:trPr>
          <w:trHeight w:val="256"/>
        </w:trPr>
        <w:tc>
          <w:tcPr>
            <w:tcW w:w="10490" w:type="dxa"/>
            <w:gridSpan w:val="5"/>
            <w:tcBorders>
              <w:top w:val="nil"/>
              <w:left w:val="single" w:sz="48" w:space="0" w:color="FFCC00"/>
              <w:right w:val="single" w:sz="48" w:space="0" w:color="FFCC00"/>
            </w:tcBorders>
            <w:shd w:val="clear" w:color="FF0000" w:fill="auto"/>
          </w:tcPr>
          <w:p w:rsidR="00667588" w:rsidRDefault="003136A6" w:rsidP="00667588">
            <w:pPr>
              <w:keepLines/>
              <w:numPr>
                <w:ilvl w:val="0"/>
                <w:numId w:val="7"/>
              </w:numPr>
              <w:spacing w:line="240" w:lineRule="exact"/>
              <w:rPr>
                <w:rFonts w:ascii="Arial" w:hAnsi="Arial" w:cs="Arial"/>
              </w:rPr>
            </w:pPr>
            <w:r>
              <w:rPr>
                <w:rFonts w:ascii="Arial" w:hAnsi="Arial" w:cs="Arial"/>
              </w:rPr>
              <w:t xml:space="preserve">Betreten des Gefahrenbereiches nur mit geeigneter </w:t>
            </w:r>
            <w:r w:rsidR="004959A3">
              <w:rPr>
                <w:rFonts w:ascii="Arial" w:hAnsi="Arial" w:cs="Arial"/>
              </w:rPr>
              <w:t xml:space="preserve">Persönlicher </w:t>
            </w:r>
            <w:r>
              <w:rPr>
                <w:rFonts w:ascii="Arial" w:hAnsi="Arial" w:cs="Arial"/>
              </w:rPr>
              <w:t>Schutzausrüstung.</w:t>
            </w:r>
            <w:r w:rsidR="00667588">
              <w:rPr>
                <w:rFonts w:ascii="Arial" w:hAnsi="Arial" w:cs="Arial"/>
              </w:rPr>
              <w:t xml:space="preserve"> </w:t>
            </w:r>
          </w:p>
          <w:p w:rsidR="00667588" w:rsidRDefault="00667588" w:rsidP="009B341C">
            <w:pPr>
              <w:keepLines/>
              <w:numPr>
                <w:ilvl w:val="0"/>
                <w:numId w:val="7"/>
              </w:numPr>
              <w:spacing w:line="240" w:lineRule="exact"/>
              <w:rPr>
                <w:rFonts w:ascii="Arial" w:hAnsi="Arial" w:cs="Arial"/>
              </w:rPr>
            </w:pPr>
            <w:r w:rsidRPr="00667588">
              <w:rPr>
                <w:rFonts w:ascii="Arial" w:hAnsi="Arial" w:cs="Arial"/>
              </w:rPr>
              <w:t xml:space="preserve">Gefahrenbereich räumen und absperren. </w:t>
            </w:r>
            <w:r>
              <w:rPr>
                <w:rFonts w:ascii="Arial" w:hAnsi="Arial" w:cs="Arial"/>
              </w:rPr>
              <w:t xml:space="preserve">Verletzte </w:t>
            </w:r>
            <w:r w:rsidR="003136A6" w:rsidRPr="00667588">
              <w:rPr>
                <w:rFonts w:ascii="Arial" w:hAnsi="Arial" w:cs="Arial"/>
              </w:rPr>
              <w:t>Personen bergen</w:t>
            </w:r>
            <w:r>
              <w:rPr>
                <w:rFonts w:ascii="Arial" w:hAnsi="Arial" w:cs="Arial"/>
              </w:rPr>
              <w:t>.</w:t>
            </w:r>
          </w:p>
          <w:p w:rsidR="003136A6" w:rsidRPr="00667588" w:rsidRDefault="00667588" w:rsidP="009B341C">
            <w:pPr>
              <w:keepLines/>
              <w:numPr>
                <w:ilvl w:val="0"/>
                <w:numId w:val="7"/>
              </w:numPr>
              <w:spacing w:line="240" w:lineRule="exact"/>
              <w:rPr>
                <w:rFonts w:ascii="Arial" w:hAnsi="Arial" w:cs="Arial"/>
              </w:rPr>
            </w:pPr>
            <w:r>
              <w:rPr>
                <w:rFonts w:ascii="Arial" w:hAnsi="Arial" w:cs="Arial"/>
              </w:rPr>
              <w:t>Vorgesetzte</w:t>
            </w:r>
            <w:r w:rsidR="008A457D">
              <w:rPr>
                <w:rFonts w:ascii="Arial" w:hAnsi="Arial" w:cs="Arial"/>
              </w:rPr>
              <w:t>*</w:t>
            </w:r>
            <w:bookmarkStart w:id="0" w:name="_GoBack"/>
            <w:bookmarkEnd w:id="0"/>
            <w:r>
              <w:rPr>
                <w:rFonts w:ascii="Arial" w:hAnsi="Arial" w:cs="Arial"/>
              </w:rPr>
              <w:t>n informieren.</w:t>
            </w:r>
          </w:p>
          <w:p w:rsidR="003136A6" w:rsidRDefault="00667588">
            <w:pPr>
              <w:keepLines/>
              <w:numPr>
                <w:ilvl w:val="0"/>
                <w:numId w:val="7"/>
              </w:numPr>
              <w:spacing w:line="240" w:lineRule="exact"/>
              <w:rPr>
                <w:rFonts w:ascii="Arial" w:hAnsi="Arial" w:cs="Arial"/>
              </w:rPr>
            </w:pPr>
            <w:r>
              <w:rPr>
                <w:rFonts w:ascii="Arial" w:hAnsi="Arial" w:cs="Arial"/>
              </w:rPr>
              <w:t xml:space="preserve">Ausgelaufene/verschüttete Flusssäure </w:t>
            </w:r>
            <w:r w:rsidR="003136A6">
              <w:rPr>
                <w:rFonts w:ascii="Arial" w:hAnsi="Arial" w:cs="Arial"/>
              </w:rPr>
              <w:t>mit Calciumhydroxid neutralisieren und mit viel Wasser wegspülen.</w:t>
            </w:r>
          </w:p>
          <w:p w:rsidR="004959A3" w:rsidRDefault="004959A3">
            <w:pPr>
              <w:keepLines/>
              <w:numPr>
                <w:ilvl w:val="0"/>
                <w:numId w:val="7"/>
              </w:numPr>
              <w:spacing w:line="240" w:lineRule="exact"/>
              <w:rPr>
                <w:rFonts w:ascii="Arial" w:hAnsi="Arial" w:cs="Arial"/>
              </w:rPr>
            </w:pPr>
            <w:r>
              <w:rPr>
                <w:rFonts w:ascii="Arial" w:hAnsi="Arial" w:cs="Arial"/>
              </w:rPr>
              <w:t>Raum anschließend lüften.</w:t>
            </w:r>
          </w:p>
          <w:p w:rsidR="003136A6" w:rsidRDefault="004959A3" w:rsidP="004959A3">
            <w:pPr>
              <w:keepLines/>
              <w:spacing w:line="240" w:lineRule="exact"/>
              <w:rPr>
                <w:rFonts w:ascii="Arial" w:hAnsi="Arial" w:cs="Arial"/>
                <w:bCs/>
              </w:rPr>
            </w:pPr>
            <w:r>
              <w:rPr>
                <w:rFonts w:ascii="Arial" w:hAnsi="Arial" w:cs="Arial"/>
                <w:bCs/>
              </w:rPr>
              <w:t>Im Brandfall: Flusssäure ist nicht brennbar. Feuerlöschmittel auf den Brand abstimmen.</w:t>
            </w:r>
          </w:p>
        </w:tc>
      </w:tr>
      <w:tr w:rsidR="00263CBD">
        <w:tc>
          <w:tcPr>
            <w:tcW w:w="7571" w:type="dxa"/>
            <w:gridSpan w:val="4"/>
            <w:tcBorders>
              <w:top w:val="nil"/>
              <w:left w:val="single" w:sz="48" w:space="0" w:color="FFCC00"/>
            </w:tcBorders>
            <w:shd w:val="clear" w:color="FF0000" w:fill="FFCC00"/>
          </w:tcPr>
          <w:p w:rsidR="00263CBD" w:rsidRDefault="00263CBD">
            <w:pPr>
              <w:pStyle w:val="berschrift4"/>
              <w:spacing w:before="120"/>
              <w:rPr>
                <w:rFonts w:ascii="Arial" w:hAnsi="Arial" w:cs="Arial"/>
              </w:rPr>
            </w:pPr>
            <w:r>
              <w:rPr>
                <w:rFonts w:ascii="Arial" w:hAnsi="Arial" w:cs="Arial"/>
              </w:rPr>
              <w:t>Erste Hilfe</w:t>
            </w:r>
          </w:p>
        </w:tc>
        <w:tc>
          <w:tcPr>
            <w:tcW w:w="2919" w:type="dxa"/>
            <w:tcBorders>
              <w:top w:val="nil"/>
              <w:right w:val="single" w:sz="48" w:space="0" w:color="FFCC00"/>
            </w:tcBorders>
            <w:shd w:val="clear" w:color="FF0000" w:fill="FFFF00"/>
          </w:tcPr>
          <w:p w:rsidR="00263CBD" w:rsidRDefault="00263CBD">
            <w:pPr>
              <w:pStyle w:val="berschrift4"/>
              <w:spacing w:before="120"/>
              <w:rPr>
                <w:rFonts w:ascii="Arial" w:hAnsi="Arial" w:cs="Arial"/>
                <w:b w:val="0"/>
              </w:rPr>
            </w:pPr>
            <w:r>
              <w:rPr>
                <w:rFonts w:ascii="Arial" w:hAnsi="Arial" w:cs="Arial"/>
              </w:rPr>
              <w:t>NOTRUF 112</w:t>
            </w:r>
          </w:p>
        </w:tc>
      </w:tr>
      <w:tr w:rsidR="00263CBD" w:rsidTr="008809E0">
        <w:trPr>
          <w:trHeight w:val="256"/>
        </w:trPr>
        <w:tc>
          <w:tcPr>
            <w:tcW w:w="1617" w:type="dxa"/>
            <w:tcBorders>
              <w:top w:val="nil"/>
              <w:left w:val="single" w:sz="48" w:space="0" w:color="FFCC00"/>
              <w:bottom w:val="double" w:sz="4" w:space="0" w:color="auto"/>
            </w:tcBorders>
            <w:shd w:val="clear" w:color="FF0000" w:fill="auto"/>
          </w:tcPr>
          <w:p w:rsidR="00263CBD" w:rsidRDefault="00263CBD">
            <w:pPr>
              <w:pStyle w:val="berschrift4"/>
              <w:rPr>
                <w:rFonts w:ascii="Arial" w:hAnsi="Arial" w:cs="Arial"/>
                <w:sz w:val="22"/>
              </w:rPr>
            </w:pPr>
            <w:r>
              <w:rPr>
                <w:rFonts w:ascii="Arial" w:hAnsi="Arial" w:cs="Arial"/>
              </w:rPr>
              <w:object w:dxaOrig="3360"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1.5pt" o:ole="">
                  <v:imagedata r:id="rId15" o:title=""/>
                </v:shape>
                <o:OLEObject Type="Embed" ProgID="PBrush" ShapeID="_x0000_i1025" DrawAspect="Content" ObjectID="_1767012319" r:id="rId16"/>
              </w:object>
            </w:r>
          </w:p>
        </w:tc>
        <w:tc>
          <w:tcPr>
            <w:tcW w:w="8873" w:type="dxa"/>
            <w:gridSpan w:val="4"/>
            <w:tcBorders>
              <w:top w:val="nil"/>
              <w:bottom w:val="double" w:sz="4" w:space="0" w:color="auto"/>
              <w:right w:val="single" w:sz="48" w:space="0" w:color="FFCC00"/>
            </w:tcBorders>
            <w:shd w:val="clear" w:color="FF0000" w:fill="auto"/>
          </w:tcPr>
          <w:p w:rsidR="00AB0E7C" w:rsidRDefault="00AB0E7C">
            <w:pPr>
              <w:keepNext/>
              <w:ind w:right="-1"/>
              <w:rPr>
                <w:rFonts w:ascii="Arial" w:hAnsi="Arial" w:cs="Arial"/>
                <w:b/>
              </w:rPr>
            </w:pPr>
          </w:p>
          <w:p w:rsidR="00E07FDB" w:rsidRDefault="00E07FDB" w:rsidP="00E07FDB">
            <w:pPr>
              <w:keepNext/>
              <w:ind w:right="-1"/>
              <w:rPr>
                <w:rFonts w:ascii="Arial" w:hAnsi="Arial" w:cs="Arial"/>
                <w:b/>
              </w:rPr>
            </w:pPr>
            <w:r w:rsidRPr="00E07FDB">
              <w:rPr>
                <w:rFonts w:ascii="Arial" w:hAnsi="Arial" w:cs="Arial"/>
                <w:b/>
              </w:rPr>
              <w:t>Sofortiges Handeln ist vordringlich und kann lebensrettend sein.</w:t>
            </w:r>
          </w:p>
          <w:p w:rsidR="00E07FDB" w:rsidRDefault="00E07FDB" w:rsidP="00AB0E7C">
            <w:pPr>
              <w:ind w:right="-1"/>
              <w:rPr>
                <w:rFonts w:ascii="Arial" w:hAnsi="Arial" w:cs="Arial"/>
                <w:b/>
              </w:rPr>
            </w:pPr>
          </w:p>
          <w:p w:rsidR="00263CBD" w:rsidRDefault="00E07FDB" w:rsidP="00AB0E7C">
            <w:pPr>
              <w:ind w:right="-1"/>
              <w:rPr>
                <w:rFonts w:ascii="Arial" w:hAnsi="Arial" w:cs="Arial"/>
              </w:rPr>
            </w:pPr>
            <w:r>
              <w:rPr>
                <w:rFonts w:ascii="Arial" w:hAnsi="Arial" w:cs="Arial"/>
                <w:b/>
              </w:rPr>
              <w:t>Auf Selbstschutz achten! Schutzhandschuhe benutzen!</w:t>
            </w:r>
          </w:p>
        </w:tc>
      </w:tr>
      <w:tr w:rsidR="00884D3D" w:rsidTr="008809E0">
        <w:trPr>
          <w:trHeight w:val="256"/>
        </w:trPr>
        <w:tc>
          <w:tcPr>
            <w:tcW w:w="10490" w:type="dxa"/>
            <w:gridSpan w:val="5"/>
            <w:tcBorders>
              <w:top w:val="double" w:sz="4" w:space="0" w:color="auto"/>
              <w:left w:val="single" w:sz="48" w:space="0" w:color="FFCC00"/>
              <w:bottom w:val="double" w:sz="4" w:space="0" w:color="auto"/>
              <w:right w:val="single" w:sz="48" w:space="0" w:color="FFCC00"/>
            </w:tcBorders>
            <w:shd w:val="clear" w:color="FF0000" w:fill="auto"/>
          </w:tcPr>
          <w:p w:rsidR="00884D3D" w:rsidRDefault="00884D3D" w:rsidP="00884D3D">
            <w:pPr>
              <w:keepNext/>
              <w:ind w:right="-1"/>
              <w:jc w:val="center"/>
              <w:rPr>
                <w:rFonts w:ascii="Arial" w:hAnsi="Arial" w:cs="Arial"/>
                <w:b/>
                <w:sz w:val="24"/>
                <w:szCs w:val="24"/>
              </w:rPr>
            </w:pPr>
            <w:r w:rsidRPr="00AB0E7C">
              <w:rPr>
                <w:rFonts w:ascii="Arial" w:hAnsi="Arial" w:cs="Arial"/>
                <w:b/>
                <w:sz w:val="24"/>
                <w:szCs w:val="24"/>
              </w:rPr>
              <w:t xml:space="preserve">Nach jedem Unfall mit Flusssäure </w:t>
            </w:r>
            <w:r w:rsidRPr="00884D3D">
              <w:rPr>
                <w:rFonts w:ascii="Arial" w:hAnsi="Arial" w:cs="Arial"/>
                <w:b/>
                <w:sz w:val="24"/>
                <w:szCs w:val="24"/>
                <w:u w:val="single"/>
              </w:rPr>
              <w:t>umgehend</w:t>
            </w:r>
            <w:r w:rsidRPr="00AB0E7C">
              <w:rPr>
                <w:rFonts w:ascii="Arial" w:hAnsi="Arial" w:cs="Arial"/>
                <w:b/>
                <w:sz w:val="24"/>
                <w:szCs w:val="24"/>
              </w:rPr>
              <w:t xml:space="preserve"> </w:t>
            </w:r>
            <w:r w:rsidR="0008256D">
              <w:rPr>
                <w:rFonts w:ascii="Arial" w:hAnsi="Arial" w:cs="Arial"/>
                <w:b/>
                <w:sz w:val="24"/>
                <w:szCs w:val="24"/>
              </w:rPr>
              <w:t>NOTRUF absetzen</w:t>
            </w:r>
            <w:r w:rsidRPr="00AB0E7C">
              <w:rPr>
                <w:rFonts w:ascii="Arial" w:hAnsi="Arial" w:cs="Arial"/>
                <w:b/>
                <w:sz w:val="24"/>
                <w:szCs w:val="24"/>
              </w:rPr>
              <w:t xml:space="preserve"> und </w:t>
            </w:r>
            <w:r w:rsidR="0008256D">
              <w:rPr>
                <w:rFonts w:ascii="Arial" w:hAnsi="Arial" w:cs="Arial"/>
                <w:b/>
                <w:sz w:val="24"/>
                <w:szCs w:val="24"/>
              </w:rPr>
              <w:t>NOTARZT anfordern.</w:t>
            </w:r>
          </w:p>
          <w:p w:rsidR="00884D3D" w:rsidRPr="0008256D" w:rsidRDefault="0008256D" w:rsidP="00884D3D">
            <w:pPr>
              <w:keepNext/>
              <w:ind w:right="-1"/>
              <w:jc w:val="center"/>
              <w:rPr>
                <w:rFonts w:ascii="Arial" w:hAnsi="Arial" w:cs="Arial"/>
                <w:sz w:val="24"/>
                <w:szCs w:val="24"/>
                <w:u w:val="single"/>
              </w:rPr>
            </w:pPr>
            <w:r w:rsidRPr="0008256D">
              <w:rPr>
                <w:rFonts w:ascii="Arial" w:hAnsi="Arial" w:cs="Arial"/>
                <w:sz w:val="24"/>
                <w:szCs w:val="24"/>
                <w:u w:val="single"/>
              </w:rPr>
              <w:t xml:space="preserve">Auf Einsatz des </w:t>
            </w:r>
            <w:r w:rsidR="00884D3D" w:rsidRPr="0008256D">
              <w:rPr>
                <w:rFonts w:ascii="Arial" w:hAnsi="Arial" w:cs="Arial"/>
                <w:sz w:val="24"/>
                <w:szCs w:val="24"/>
                <w:u w:val="single"/>
              </w:rPr>
              <w:t>Rettungshubschrauber</w:t>
            </w:r>
            <w:r w:rsidRPr="0008256D">
              <w:rPr>
                <w:rFonts w:ascii="Arial" w:hAnsi="Arial" w:cs="Arial"/>
                <w:sz w:val="24"/>
                <w:szCs w:val="24"/>
                <w:u w:val="single"/>
              </w:rPr>
              <w:t>s</w:t>
            </w:r>
            <w:r w:rsidR="00884D3D" w:rsidRPr="0008256D">
              <w:rPr>
                <w:rFonts w:ascii="Arial" w:hAnsi="Arial" w:cs="Arial"/>
                <w:sz w:val="24"/>
                <w:szCs w:val="24"/>
                <w:u w:val="single"/>
              </w:rPr>
              <w:t xml:space="preserve"> </w:t>
            </w:r>
            <w:r w:rsidRPr="0008256D">
              <w:rPr>
                <w:rFonts w:ascii="Arial" w:hAnsi="Arial" w:cs="Arial"/>
                <w:sz w:val="24"/>
                <w:szCs w:val="24"/>
                <w:u w:val="single"/>
              </w:rPr>
              <w:t>drängen</w:t>
            </w:r>
            <w:r w:rsidR="00884D3D" w:rsidRPr="0008256D">
              <w:rPr>
                <w:rFonts w:ascii="Arial" w:hAnsi="Arial" w:cs="Arial"/>
                <w:sz w:val="24"/>
                <w:szCs w:val="24"/>
                <w:u w:val="single"/>
              </w:rPr>
              <w:t>.</w:t>
            </w:r>
          </w:p>
          <w:p w:rsidR="00884D3D" w:rsidRDefault="00884D3D" w:rsidP="00884D3D">
            <w:pPr>
              <w:keepNext/>
              <w:ind w:right="-1"/>
              <w:jc w:val="center"/>
              <w:rPr>
                <w:rFonts w:ascii="Arial" w:hAnsi="Arial" w:cs="Arial"/>
              </w:rPr>
            </w:pPr>
            <w:r>
              <w:rPr>
                <w:rFonts w:ascii="Arial" w:hAnsi="Arial" w:cs="Arial"/>
              </w:rPr>
              <w:t>Zielkrankenhaus: Universitätsklinikum Frankfurt a.M.</w:t>
            </w:r>
          </w:p>
          <w:p w:rsidR="00884D3D" w:rsidRDefault="00884D3D" w:rsidP="00884D3D">
            <w:pPr>
              <w:keepNext/>
              <w:ind w:right="-1"/>
              <w:jc w:val="center"/>
              <w:rPr>
                <w:rFonts w:ascii="Arial" w:hAnsi="Arial" w:cs="Arial"/>
              </w:rPr>
            </w:pPr>
            <w:r>
              <w:rPr>
                <w:rFonts w:ascii="Arial" w:hAnsi="Arial" w:cs="Arial"/>
              </w:rPr>
              <w:t xml:space="preserve">Klinik für Gefäß- und Endovascularchirurgie </w:t>
            </w:r>
          </w:p>
          <w:p w:rsidR="00884D3D" w:rsidRDefault="00884D3D" w:rsidP="00884D3D">
            <w:pPr>
              <w:ind w:right="-1"/>
              <w:jc w:val="center"/>
              <w:rPr>
                <w:rFonts w:ascii="Arial" w:hAnsi="Arial" w:cs="Arial"/>
                <w:b/>
                <w:sz w:val="24"/>
              </w:rPr>
            </w:pPr>
          </w:p>
          <w:p w:rsidR="00884D3D" w:rsidRPr="0008256D" w:rsidRDefault="00884D3D" w:rsidP="0008256D">
            <w:pPr>
              <w:ind w:right="-1"/>
              <w:jc w:val="center"/>
              <w:rPr>
                <w:rFonts w:ascii="Arial" w:hAnsi="Arial" w:cs="Arial"/>
                <w:color w:val="FF0000"/>
                <w:sz w:val="24"/>
              </w:rPr>
            </w:pPr>
            <w:r w:rsidRPr="009B5C73">
              <w:rPr>
                <w:rFonts w:ascii="Arial" w:hAnsi="Arial" w:cs="Arial"/>
                <w:color w:val="FF0000"/>
                <w:sz w:val="24"/>
              </w:rPr>
              <w:t>Die</w:t>
            </w:r>
            <w:r w:rsidR="00906352">
              <w:rPr>
                <w:rFonts w:ascii="Arial" w:hAnsi="Arial" w:cs="Arial"/>
                <w:color w:val="FF0000"/>
                <w:sz w:val="24"/>
              </w:rPr>
              <w:t>se Betriebsanweisung und d</w:t>
            </w:r>
            <w:r w:rsidR="009B5C73">
              <w:rPr>
                <w:rFonts w:ascii="Arial" w:hAnsi="Arial" w:cs="Arial"/>
                <w:color w:val="FF0000"/>
                <w:sz w:val="24"/>
              </w:rPr>
              <w:t>ie</w:t>
            </w:r>
            <w:r w:rsidRPr="009B5C73">
              <w:rPr>
                <w:rFonts w:ascii="Arial" w:hAnsi="Arial" w:cs="Arial"/>
                <w:color w:val="FF0000"/>
                <w:sz w:val="24"/>
              </w:rPr>
              <w:t xml:space="preserve"> Seite HINWEISE FÜR DE</w:t>
            </w:r>
            <w:r w:rsidR="0008256D">
              <w:rPr>
                <w:rFonts w:ascii="Arial" w:hAnsi="Arial" w:cs="Arial"/>
                <w:color w:val="FF0000"/>
                <w:sz w:val="24"/>
              </w:rPr>
              <w:t>N ARZT dem Notarzt aushändigen!</w:t>
            </w:r>
          </w:p>
        </w:tc>
      </w:tr>
      <w:tr w:rsidR="00AB0E7C" w:rsidTr="008809E0">
        <w:trPr>
          <w:trHeight w:val="256"/>
        </w:trPr>
        <w:tc>
          <w:tcPr>
            <w:tcW w:w="10490" w:type="dxa"/>
            <w:gridSpan w:val="5"/>
            <w:tcBorders>
              <w:top w:val="double" w:sz="4" w:space="0" w:color="auto"/>
              <w:left w:val="single" w:sz="48" w:space="0" w:color="FFCC00"/>
              <w:bottom w:val="nil"/>
              <w:right w:val="single" w:sz="48" w:space="0" w:color="FFCC00"/>
            </w:tcBorders>
            <w:shd w:val="clear" w:color="FF0000" w:fill="auto"/>
          </w:tcPr>
          <w:p w:rsidR="0008256D" w:rsidRDefault="0008256D" w:rsidP="00AB0E7C">
            <w:pPr>
              <w:keepNext/>
              <w:ind w:right="-1"/>
              <w:rPr>
                <w:rFonts w:ascii="Arial" w:hAnsi="Arial" w:cs="Arial"/>
                <w:b/>
              </w:rPr>
            </w:pPr>
          </w:p>
          <w:p w:rsidR="00AB0E7C" w:rsidRDefault="00AB0E7C" w:rsidP="00AB0E7C">
            <w:pPr>
              <w:keepNext/>
              <w:ind w:right="-1"/>
              <w:rPr>
                <w:rFonts w:ascii="Arial" w:hAnsi="Arial" w:cs="Arial"/>
              </w:rPr>
            </w:pPr>
            <w:r>
              <w:rPr>
                <w:rFonts w:ascii="Arial" w:hAnsi="Arial" w:cs="Arial"/>
                <w:b/>
              </w:rPr>
              <w:t>Augenverletzungen</w:t>
            </w:r>
            <w:r>
              <w:rPr>
                <w:rFonts w:ascii="Arial" w:hAnsi="Arial" w:cs="Arial"/>
              </w:rPr>
              <w:t>:</w:t>
            </w:r>
          </w:p>
          <w:p w:rsidR="00AB0E7C" w:rsidRDefault="00AB0E7C" w:rsidP="00AB0E7C">
            <w:pPr>
              <w:keepNext/>
              <w:numPr>
                <w:ilvl w:val="0"/>
                <w:numId w:val="1"/>
              </w:numPr>
              <w:ind w:right="-1"/>
              <w:rPr>
                <w:rFonts w:ascii="Arial" w:hAnsi="Arial" w:cs="Arial"/>
              </w:rPr>
            </w:pPr>
            <w:r>
              <w:rPr>
                <w:rFonts w:ascii="Arial" w:hAnsi="Arial" w:cs="Arial"/>
              </w:rPr>
              <w:t xml:space="preserve">Unter Schutz des unverletzten Auges ausgiebig, </w:t>
            </w:r>
            <w:r w:rsidRPr="00AB0E7C">
              <w:rPr>
                <w:rFonts w:ascii="Arial" w:hAnsi="Arial" w:cs="Arial"/>
              </w:rPr>
              <w:t>mind.</w:t>
            </w:r>
            <w:r>
              <w:rPr>
                <w:rFonts w:ascii="Arial" w:hAnsi="Arial" w:cs="Arial"/>
              </w:rPr>
              <w:t xml:space="preserve"> 15 Min., bei geöffneten Augenlidern, mit Wasser spülen.</w:t>
            </w:r>
          </w:p>
          <w:p w:rsidR="00AB0E7C" w:rsidRDefault="00AB0E7C" w:rsidP="00AB0E7C">
            <w:pPr>
              <w:spacing w:before="60"/>
              <w:rPr>
                <w:rFonts w:ascii="Arial" w:hAnsi="Arial" w:cs="Arial"/>
              </w:rPr>
            </w:pPr>
            <w:r>
              <w:rPr>
                <w:rFonts w:ascii="Arial" w:hAnsi="Arial" w:cs="Arial"/>
                <w:b/>
              </w:rPr>
              <w:t>Hautverletzungen</w:t>
            </w:r>
            <w:r>
              <w:rPr>
                <w:rFonts w:ascii="Arial" w:hAnsi="Arial" w:cs="Arial"/>
              </w:rPr>
              <w:t>:</w:t>
            </w:r>
          </w:p>
          <w:p w:rsidR="00E07FDB" w:rsidRPr="00E07FDB" w:rsidRDefault="00E07FDB" w:rsidP="00E07FDB">
            <w:pPr>
              <w:numPr>
                <w:ilvl w:val="0"/>
                <w:numId w:val="1"/>
              </w:numPr>
              <w:ind w:right="-1"/>
              <w:rPr>
                <w:rFonts w:ascii="Arial" w:hAnsi="Arial" w:cs="Arial"/>
              </w:rPr>
            </w:pPr>
            <w:r w:rsidRPr="00E07FDB">
              <w:rPr>
                <w:rFonts w:ascii="Arial" w:hAnsi="Arial" w:cs="Arial"/>
              </w:rPr>
              <w:t>Verunreinigte Kleidung, auch Unterwäsche und Schuhe, sofort ausziehen, auf Selbstschutz achten.</w:t>
            </w:r>
          </w:p>
          <w:p w:rsidR="00E07FDB" w:rsidRPr="00E07FDB" w:rsidRDefault="00E07FDB" w:rsidP="00E07FDB">
            <w:pPr>
              <w:numPr>
                <w:ilvl w:val="0"/>
                <w:numId w:val="1"/>
              </w:numPr>
              <w:ind w:right="-1"/>
              <w:rPr>
                <w:rFonts w:ascii="Arial" w:hAnsi="Arial" w:cs="Arial"/>
              </w:rPr>
            </w:pPr>
            <w:r w:rsidRPr="00E07FDB">
              <w:rPr>
                <w:rFonts w:ascii="Arial" w:hAnsi="Arial" w:cs="Arial"/>
              </w:rPr>
              <w:t>Haut und ggf. Schleimhäute (Nase bzw. Mundhöhle) mit viel Wasser spülen.</w:t>
            </w:r>
          </w:p>
          <w:p w:rsidR="00E07FDB" w:rsidRPr="00E07FDB" w:rsidRDefault="00E07FDB" w:rsidP="00CA11C4">
            <w:pPr>
              <w:numPr>
                <w:ilvl w:val="0"/>
                <w:numId w:val="1"/>
              </w:numPr>
              <w:ind w:right="-1"/>
              <w:rPr>
                <w:rFonts w:ascii="Arial" w:hAnsi="Arial" w:cs="Arial"/>
              </w:rPr>
            </w:pPr>
            <w:r w:rsidRPr="00E07FDB">
              <w:rPr>
                <w:rFonts w:ascii="Arial" w:hAnsi="Arial" w:cs="Arial"/>
              </w:rPr>
              <w:t xml:space="preserve">Nach gründlichem Abwaschen mit Wasser auf die betroffene Haut </w:t>
            </w:r>
            <w:r w:rsidR="00CA11C4" w:rsidRPr="00CA11C4">
              <w:rPr>
                <w:rFonts w:ascii="Arial" w:hAnsi="Arial" w:cs="Arial"/>
                <w:b/>
              </w:rPr>
              <w:t>Calciumgluconat-Gel (2,5%ig)</w:t>
            </w:r>
            <w:r w:rsidR="00CA11C4">
              <w:rPr>
                <w:rFonts w:ascii="Arial" w:hAnsi="Arial" w:cs="Arial"/>
                <w:b/>
              </w:rPr>
              <w:t xml:space="preserve"> </w:t>
            </w:r>
            <w:r w:rsidRPr="00E07FDB">
              <w:rPr>
                <w:rFonts w:ascii="Arial" w:hAnsi="Arial" w:cs="Arial"/>
              </w:rPr>
              <w:t>auftragen und bis zum Schwinden des Schmerzes vorsichtig in die Haut einmassieren. Zwischendurch den Cal</w:t>
            </w:r>
            <w:r>
              <w:rPr>
                <w:rFonts w:ascii="Arial" w:hAnsi="Arial" w:cs="Arial"/>
              </w:rPr>
              <w:t>ciumgluconatbrei mit Wasser abspülen</w:t>
            </w:r>
            <w:r w:rsidRPr="00E07FDB">
              <w:rPr>
                <w:rFonts w:ascii="Arial" w:hAnsi="Arial" w:cs="Arial"/>
              </w:rPr>
              <w:t xml:space="preserve"> und durch neues Calciumgluconat</w:t>
            </w:r>
            <w:r w:rsidR="00CA11C4">
              <w:rPr>
                <w:rFonts w:ascii="Arial" w:hAnsi="Arial" w:cs="Arial"/>
              </w:rPr>
              <w:t>-G</w:t>
            </w:r>
            <w:r w:rsidRPr="00E07FDB">
              <w:rPr>
                <w:rFonts w:ascii="Arial" w:hAnsi="Arial" w:cs="Arial"/>
              </w:rPr>
              <w:t xml:space="preserve">el </w:t>
            </w:r>
            <w:r>
              <w:rPr>
                <w:rFonts w:ascii="Arial" w:hAnsi="Arial" w:cs="Arial"/>
              </w:rPr>
              <w:t>ersetzen.</w:t>
            </w:r>
          </w:p>
          <w:p w:rsidR="00E07FDB" w:rsidRPr="00E07FDB" w:rsidRDefault="00E07FDB" w:rsidP="00E07FDB">
            <w:pPr>
              <w:ind w:left="283" w:right="-1"/>
              <w:rPr>
                <w:rFonts w:ascii="Arial" w:hAnsi="Arial" w:cs="Arial"/>
              </w:rPr>
            </w:pPr>
            <w:r w:rsidRPr="00E07FDB">
              <w:rPr>
                <w:rFonts w:ascii="Arial" w:hAnsi="Arial" w:cs="Arial"/>
              </w:rPr>
              <w:t>Nach Schmerzfreiheit das Einreiben mit dem Gel weitere 15 Minuten fortsetzen.</w:t>
            </w:r>
          </w:p>
          <w:p w:rsidR="00E07FDB" w:rsidRPr="00E07FDB" w:rsidRDefault="00E07FDB" w:rsidP="00E07FDB">
            <w:pPr>
              <w:numPr>
                <w:ilvl w:val="0"/>
                <w:numId w:val="1"/>
              </w:numPr>
              <w:rPr>
                <w:rFonts w:ascii="Arial" w:hAnsi="Arial" w:cs="Arial"/>
              </w:rPr>
            </w:pPr>
            <w:r w:rsidRPr="00E07FDB">
              <w:rPr>
                <w:rFonts w:ascii="Arial" w:hAnsi="Arial" w:cs="Arial"/>
              </w:rPr>
              <w:t>Für Körperruhe sorgen, vor Wärmeverlust schützen.</w:t>
            </w:r>
          </w:p>
          <w:p w:rsidR="00AB0E7C" w:rsidRDefault="00AB0E7C" w:rsidP="00AB0E7C">
            <w:pPr>
              <w:ind w:right="-1"/>
              <w:rPr>
                <w:rFonts w:ascii="Arial" w:hAnsi="Arial" w:cs="Arial"/>
              </w:rPr>
            </w:pPr>
            <w:r>
              <w:rPr>
                <w:rFonts w:ascii="Arial" w:hAnsi="Arial" w:cs="Arial"/>
                <w:b/>
              </w:rPr>
              <w:t>Einatmen</w:t>
            </w:r>
            <w:r>
              <w:rPr>
                <w:rFonts w:ascii="Arial" w:hAnsi="Arial" w:cs="Arial"/>
              </w:rPr>
              <w:t>:</w:t>
            </w:r>
          </w:p>
          <w:p w:rsidR="00AB0E7C" w:rsidRDefault="00AB0E7C" w:rsidP="00AB0E7C">
            <w:pPr>
              <w:numPr>
                <w:ilvl w:val="0"/>
                <w:numId w:val="1"/>
              </w:numPr>
              <w:ind w:right="-1"/>
              <w:rPr>
                <w:rFonts w:ascii="Arial" w:hAnsi="Arial" w:cs="Arial"/>
              </w:rPr>
            </w:pPr>
            <w:r>
              <w:rPr>
                <w:rFonts w:ascii="Arial" w:hAnsi="Arial" w:cs="Arial"/>
              </w:rPr>
              <w:t>Verletzte/n aus dem Gefahrenbereich retten. An die frische Luft bringen.</w:t>
            </w:r>
          </w:p>
          <w:p w:rsidR="00AB0E7C" w:rsidRDefault="00AB0E7C" w:rsidP="00AB0E7C">
            <w:pPr>
              <w:numPr>
                <w:ilvl w:val="0"/>
                <w:numId w:val="1"/>
              </w:numPr>
              <w:ind w:right="-1"/>
              <w:rPr>
                <w:rFonts w:ascii="Arial" w:hAnsi="Arial" w:cs="Arial"/>
              </w:rPr>
            </w:pPr>
            <w:r>
              <w:rPr>
                <w:rFonts w:ascii="Arial" w:hAnsi="Arial" w:cs="Arial"/>
              </w:rPr>
              <w:t>Verletzte/n nicht selbst gehen lassen, sondern – wenn möglich - tragen oder fahren. Lagerung mit erhöhten Oberkörper.</w:t>
            </w:r>
          </w:p>
          <w:p w:rsidR="00AB0E7C" w:rsidRDefault="00AB0E7C" w:rsidP="00AB0E7C">
            <w:pPr>
              <w:numPr>
                <w:ilvl w:val="0"/>
                <w:numId w:val="1"/>
              </w:numPr>
              <w:ind w:right="-1"/>
              <w:rPr>
                <w:rFonts w:ascii="Arial" w:hAnsi="Arial" w:cs="Arial"/>
              </w:rPr>
            </w:pPr>
            <w:r>
              <w:rPr>
                <w:rFonts w:ascii="Arial" w:hAnsi="Arial" w:cs="Arial"/>
              </w:rPr>
              <w:t xml:space="preserve">Bei Atemstillstand künstliche Beatmung nach Möglichkeit mit einer Atemhilfe (z.B. Beatmungsbeutel). </w:t>
            </w:r>
          </w:p>
          <w:p w:rsidR="00AB0E7C" w:rsidRDefault="00AB0E7C" w:rsidP="00AB0E7C">
            <w:pPr>
              <w:ind w:left="283" w:right="-1"/>
              <w:rPr>
                <w:rFonts w:ascii="Arial" w:hAnsi="Arial" w:cs="Arial"/>
              </w:rPr>
            </w:pPr>
            <w:r>
              <w:rPr>
                <w:rFonts w:ascii="Arial" w:hAnsi="Arial" w:cs="Arial"/>
              </w:rPr>
              <w:t>Das Einatmen von Flurwasserstoff auf jeden Fall vermeiden.</w:t>
            </w:r>
          </w:p>
          <w:p w:rsidR="00AB0E7C" w:rsidRPr="00AB0E7C" w:rsidRDefault="00AB0E7C" w:rsidP="00AB0E7C">
            <w:pPr>
              <w:numPr>
                <w:ilvl w:val="0"/>
                <w:numId w:val="1"/>
              </w:numPr>
              <w:ind w:right="-1"/>
              <w:rPr>
                <w:rFonts w:ascii="Arial" w:hAnsi="Arial" w:cs="Arial"/>
              </w:rPr>
            </w:pPr>
            <w:r>
              <w:rPr>
                <w:rFonts w:ascii="Arial" w:hAnsi="Arial" w:cs="Arial"/>
              </w:rPr>
              <w:t>Für Körperruhe sorgen, vor Wärmeverlust schützen.</w:t>
            </w:r>
          </w:p>
          <w:p w:rsidR="00AB0E7C" w:rsidRDefault="00AB0E7C" w:rsidP="00884D3D">
            <w:pPr>
              <w:ind w:right="-1"/>
              <w:rPr>
                <w:rFonts w:ascii="Arial" w:hAnsi="Arial" w:cs="Arial"/>
                <w:b/>
              </w:rPr>
            </w:pPr>
          </w:p>
        </w:tc>
      </w:tr>
      <w:tr w:rsidR="00263CBD">
        <w:tc>
          <w:tcPr>
            <w:tcW w:w="10490" w:type="dxa"/>
            <w:gridSpan w:val="5"/>
            <w:tcBorders>
              <w:top w:val="nil"/>
              <w:left w:val="single" w:sz="48" w:space="0" w:color="FFCC00"/>
              <w:bottom w:val="nil"/>
              <w:right w:val="single" w:sz="48" w:space="0" w:color="FFCC00"/>
            </w:tcBorders>
            <w:shd w:val="clear" w:color="FF0000" w:fill="FFCC00"/>
          </w:tcPr>
          <w:p w:rsidR="00263CBD" w:rsidRDefault="00263CBD">
            <w:pPr>
              <w:pStyle w:val="berschrift4"/>
              <w:spacing w:before="120"/>
              <w:rPr>
                <w:rFonts w:ascii="Arial" w:hAnsi="Arial" w:cs="Arial"/>
              </w:rPr>
            </w:pPr>
            <w:r>
              <w:rPr>
                <w:rFonts w:ascii="Arial" w:hAnsi="Arial" w:cs="Arial"/>
              </w:rPr>
              <w:t>Sachgerechte Entsorgung</w:t>
            </w:r>
          </w:p>
        </w:tc>
      </w:tr>
      <w:tr w:rsidR="007B62D7" w:rsidTr="003631C3">
        <w:trPr>
          <w:trHeight w:val="256"/>
        </w:trPr>
        <w:tc>
          <w:tcPr>
            <w:tcW w:w="10490" w:type="dxa"/>
            <w:gridSpan w:val="5"/>
            <w:tcBorders>
              <w:top w:val="nil"/>
              <w:left w:val="single" w:sz="48" w:space="0" w:color="FFCC00"/>
              <w:bottom w:val="single" w:sz="48" w:space="0" w:color="FFCC00"/>
              <w:right w:val="single" w:sz="48" w:space="0" w:color="FFCC00"/>
            </w:tcBorders>
            <w:shd w:val="clear" w:color="FF0000" w:fill="auto"/>
          </w:tcPr>
          <w:p w:rsidR="007B62D7" w:rsidRDefault="007B62D7">
            <w:pPr>
              <w:pStyle w:val="Textkrper2"/>
              <w:rPr>
                <w:rFonts w:cs="Arial"/>
              </w:rPr>
            </w:pPr>
            <w:r>
              <w:rPr>
                <w:rFonts w:cs="Arial"/>
              </w:rPr>
              <w:t xml:space="preserve">Wässrige Lösungen von Fluorwasserstoff mit Calciumhydroxid neutralisieren (Bildung von Calciumfluorid). </w:t>
            </w:r>
          </w:p>
          <w:p w:rsidR="007B62D7" w:rsidRDefault="007B62D7">
            <w:pPr>
              <w:pStyle w:val="Textkrper2"/>
              <w:spacing w:before="0"/>
              <w:rPr>
                <w:rFonts w:cs="Arial"/>
              </w:rPr>
            </w:pPr>
            <w:r>
              <w:rPr>
                <w:rFonts w:cs="Arial"/>
              </w:rPr>
              <w:t xml:space="preserve">Abfälle ätzender Stoffe sind gemäß </w:t>
            </w:r>
            <w:r w:rsidR="00002FC4" w:rsidRPr="00002FC4">
              <w:rPr>
                <w:rFonts w:cs="Arial"/>
              </w:rPr>
              <w:t>RICHTLINIE ZUR SAMMLUNG VON CHEMISCHEN ABFÄLLEN</w:t>
            </w:r>
            <w:r>
              <w:rPr>
                <w:rFonts w:cs="Arial"/>
              </w:rPr>
              <w:t xml:space="preserve"> zu sammeln und zu entsorgen.</w:t>
            </w:r>
          </w:p>
          <w:p w:rsidR="007B62D7" w:rsidRPr="004959A3" w:rsidRDefault="004959A3" w:rsidP="00002FC4">
            <w:pPr>
              <w:keepLines/>
              <w:spacing w:line="240" w:lineRule="exact"/>
              <w:rPr>
                <w:rFonts w:ascii="Arial" w:hAnsi="Arial" w:cs="Arial"/>
              </w:rPr>
            </w:pPr>
            <w:r w:rsidRPr="004959A3">
              <w:rPr>
                <w:rFonts w:ascii="Arial" w:hAnsi="Arial" w:cs="Arial"/>
              </w:rPr>
              <w:t>Zentrale</w:t>
            </w:r>
            <w:r w:rsidR="00002FC4">
              <w:rPr>
                <w:rFonts w:ascii="Arial" w:hAnsi="Arial" w:cs="Arial"/>
              </w:rPr>
              <w:t>s</w:t>
            </w:r>
            <w:r w:rsidRPr="004959A3">
              <w:rPr>
                <w:rFonts w:ascii="Arial" w:hAnsi="Arial" w:cs="Arial"/>
              </w:rPr>
              <w:t xml:space="preserve"> Zwischenlager für Chemische Sonderabfälle</w:t>
            </w:r>
            <w:r w:rsidR="00002FC4">
              <w:rPr>
                <w:rFonts w:ascii="Arial" w:hAnsi="Arial" w:cs="Arial"/>
              </w:rPr>
              <w:t>: Tel. 29392</w:t>
            </w:r>
          </w:p>
          <w:p w:rsidR="007B62D7" w:rsidRDefault="007B62D7">
            <w:pPr>
              <w:keepLines/>
              <w:spacing w:line="240" w:lineRule="exact"/>
              <w:rPr>
                <w:rFonts w:ascii="Arial" w:hAnsi="Arial" w:cs="Arial"/>
              </w:rPr>
            </w:pPr>
          </w:p>
        </w:tc>
      </w:tr>
    </w:tbl>
    <w:p w:rsidR="00263CBD" w:rsidRDefault="00263CBD">
      <w:pPr>
        <w:ind w:right="-1"/>
        <w:rPr>
          <w:rFonts w:ascii="Arial" w:hAnsi="Arial" w:cs="Arial"/>
        </w:rPr>
        <w:sectPr w:rsidR="00263CBD" w:rsidSect="00002FC4">
          <w:headerReference w:type="even" r:id="rId17"/>
          <w:headerReference w:type="default" r:id="rId18"/>
          <w:footerReference w:type="default" r:id="rId19"/>
          <w:footerReference w:type="first" r:id="rId20"/>
          <w:pgSz w:w="11906" w:h="16838" w:code="9"/>
          <w:pgMar w:top="465" w:right="567" w:bottom="567" w:left="1474" w:header="720" w:footer="1242" w:gutter="0"/>
          <w:cols w:space="720"/>
          <w:titlePg/>
          <w:docGrid w:linePitch="272"/>
        </w:sectPr>
      </w:pPr>
    </w:p>
    <w:p w:rsidR="00263CBD" w:rsidRDefault="00263CBD">
      <w:pPr>
        <w:ind w:right="-1"/>
        <w:rPr>
          <w:rFonts w:ascii="Arial" w:hAnsi="Arial" w:cs="Arial"/>
        </w:rPr>
      </w:pPr>
    </w:p>
    <w:tbl>
      <w:tblPr>
        <w:tblW w:w="0" w:type="auto"/>
        <w:tblInd w:w="-497" w:type="dxa"/>
        <w:tblBorders>
          <w:top w:val="single" w:sz="48" w:space="0" w:color="FFCC00"/>
        </w:tblBorders>
        <w:tblLayout w:type="fixed"/>
        <w:tblCellMar>
          <w:left w:w="70" w:type="dxa"/>
          <w:right w:w="70" w:type="dxa"/>
        </w:tblCellMar>
        <w:tblLook w:val="0000" w:firstRow="0" w:lastRow="0" w:firstColumn="0" w:lastColumn="0" w:noHBand="0" w:noVBand="0"/>
      </w:tblPr>
      <w:tblGrid>
        <w:gridCol w:w="10490"/>
      </w:tblGrid>
      <w:tr w:rsidR="00263CBD">
        <w:tc>
          <w:tcPr>
            <w:tcW w:w="10490" w:type="dxa"/>
            <w:tcBorders>
              <w:top w:val="nil"/>
              <w:left w:val="single" w:sz="48" w:space="0" w:color="FFCC00"/>
              <w:bottom w:val="nil"/>
              <w:right w:val="single" w:sz="48" w:space="0" w:color="FFCC00"/>
            </w:tcBorders>
            <w:shd w:val="clear" w:color="FF0000" w:fill="FFCC00"/>
          </w:tcPr>
          <w:p w:rsidR="00263CBD" w:rsidRPr="00002FC4" w:rsidRDefault="00263CBD" w:rsidP="00644D75">
            <w:pPr>
              <w:pStyle w:val="berschrift4"/>
              <w:spacing w:before="120"/>
              <w:jc w:val="left"/>
              <w:rPr>
                <w:rFonts w:ascii="Arial" w:hAnsi="Arial" w:cs="Arial"/>
                <w:b w:val="0"/>
                <w:bCs/>
              </w:rPr>
            </w:pPr>
            <w:r w:rsidRPr="00002FC4">
              <w:rPr>
                <w:rFonts w:ascii="Arial" w:hAnsi="Arial" w:cs="Arial"/>
                <w:b w:val="0"/>
              </w:rPr>
              <w:br w:type="page"/>
            </w:r>
            <w:r w:rsidRPr="00002FC4">
              <w:rPr>
                <w:rFonts w:ascii="Arial" w:hAnsi="Arial" w:cs="Arial"/>
                <w:b w:val="0"/>
                <w:bCs/>
                <w:sz w:val="30"/>
              </w:rPr>
              <w:t>Fluorwasserstoff, wässrige Lösung; Flusssäure</w:t>
            </w:r>
          </w:p>
        </w:tc>
      </w:tr>
      <w:tr w:rsidR="00263CBD">
        <w:tc>
          <w:tcPr>
            <w:tcW w:w="10490" w:type="dxa"/>
            <w:tcBorders>
              <w:top w:val="nil"/>
              <w:left w:val="single" w:sz="48" w:space="0" w:color="FFCC00"/>
              <w:bottom w:val="nil"/>
              <w:right w:val="single" w:sz="48" w:space="0" w:color="FFCC00"/>
            </w:tcBorders>
            <w:shd w:val="clear" w:color="FF0000" w:fill="FFCC00"/>
          </w:tcPr>
          <w:p w:rsidR="00263CBD" w:rsidRDefault="00263CBD" w:rsidP="00644D75">
            <w:pPr>
              <w:pStyle w:val="berschrift4"/>
              <w:spacing w:before="120"/>
              <w:jc w:val="left"/>
              <w:rPr>
                <w:rFonts w:ascii="Arial" w:hAnsi="Arial" w:cs="Arial"/>
                <w:bCs/>
                <w:sz w:val="30"/>
              </w:rPr>
            </w:pPr>
            <w:r>
              <w:rPr>
                <w:rFonts w:ascii="Arial" w:hAnsi="Arial" w:cs="Arial"/>
                <w:bCs/>
                <w:sz w:val="30"/>
              </w:rPr>
              <w:t>Hinweise für den Arzt</w:t>
            </w:r>
          </w:p>
        </w:tc>
      </w:tr>
      <w:tr w:rsidR="00263CBD">
        <w:trPr>
          <w:cantSplit/>
          <w:trHeight w:val="256"/>
        </w:trPr>
        <w:tc>
          <w:tcPr>
            <w:tcW w:w="10490" w:type="dxa"/>
            <w:tcBorders>
              <w:top w:val="nil"/>
              <w:left w:val="single" w:sz="48" w:space="0" w:color="FFCC00"/>
              <w:bottom w:val="nil"/>
              <w:right w:val="single" w:sz="48" w:space="0" w:color="FFCC00"/>
            </w:tcBorders>
            <w:shd w:val="clear" w:color="FF0000" w:fill="auto"/>
          </w:tcPr>
          <w:p w:rsidR="00263CBD" w:rsidRPr="00401CB4" w:rsidRDefault="00263CBD">
            <w:pPr>
              <w:spacing w:line="220" w:lineRule="atLeast"/>
              <w:jc w:val="right"/>
              <w:rPr>
                <w:rFonts w:ascii="Arial" w:hAnsi="Arial" w:cs="Arial"/>
                <w:color w:val="0070C0"/>
                <w:sz w:val="16"/>
              </w:rPr>
            </w:pPr>
            <w:r w:rsidRPr="00401CB4">
              <w:rPr>
                <w:rFonts w:ascii="Arial" w:hAnsi="Arial" w:cs="Arial"/>
                <w:color w:val="0070C0"/>
                <w:sz w:val="16"/>
              </w:rPr>
              <w:t xml:space="preserve">(Quelle: </w:t>
            </w:r>
            <w:r w:rsidR="001760AF" w:rsidRPr="001760AF">
              <w:rPr>
                <w:rFonts w:ascii="Arial" w:hAnsi="Arial" w:cs="Arial"/>
                <w:color w:val="0070C0"/>
                <w:sz w:val="16"/>
              </w:rPr>
              <w:t>DGUV Information 213-071</w:t>
            </w:r>
            <w:r w:rsidR="001760AF">
              <w:rPr>
                <w:rFonts w:ascii="Arial" w:hAnsi="Arial" w:cs="Arial"/>
                <w:color w:val="0070C0"/>
                <w:sz w:val="16"/>
              </w:rPr>
              <w:t>, Stand Dezember 2018</w:t>
            </w:r>
            <w:r w:rsidRPr="00401CB4">
              <w:rPr>
                <w:rFonts w:ascii="Arial" w:hAnsi="Arial" w:cs="Arial"/>
                <w:color w:val="0070C0"/>
                <w:sz w:val="16"/>
              </w:rPr>
              <w:t>)</w:t>
            </w:r>
          </w:p>
        </w:tc>
      </w:tr>
      <w:tr w:rsidR="00263CBD">
        <w:trPr>
          <w:trHeight w:val="256"/>
        </w:trPr>
        <w:tc>
          <w:tcPr>
            <w:tcW w:w="10490" w:type="dxa"/>
            <w:tcBorders>
              <w:top w:val="nil"/>
              <w:left w:val="single" w:sz="48" w:space="0" w:color="FFCC00"/>
              <w:bottom w:val="single" w:sz="48" w:space="0" w:color="FFCC00"/>
              <w:right w:val="single" w:sz="48" w:space="0" w:color="FFCC00"/>
            </w:tcBorders>
            <w:shd w:val="clear" w:color="FF0000" w:fill="auto"/>
          </w:tcPr>
          <w:p w:rsidR="0094565F" w:rsidRPr="001760AF" w:rsidRDefault="0094565F" w:rsidP="0094565F">
            <w:pPr>
              <w:pStyle w:val="Textkrper2"/>
              <w:spacing w:before="0"/>
              <w:rPr>
                <w:rFonts w:cs="Arial"/>
                <w:b/>
              </w:rPr>
            </w:pPr>
            <w:r w:rsidRPr="001760AF">
              <w:rPr>
                <w:rFonts w:cs="Arial"/>
                <w:b/>
              </w:rPr>
              <w:t>Fluoridionen haben die Eigenschaft, k</w:t>
            </w:r>
            <w:r w:rsidRPr="001760AF">
              <w:rPr>
                <w:rFonts w:cs="Arial" w:hint="eastAsia"/>
                <w:b/>
              </w:rPr>
              <w:t>ö</w:t>
            </w:r>
            <w:r w:rsidRPr="001760AF">
              <w:rPr>
                <w:rFonts w:cs="Arial"/>
                <w:b/>
              </w:rPr>
              <w:t>rpereigenes Calcium und Magnesium zu binden. Patienten mit erheblicher</w:t>
            </w:r>
            <w:r w:rsidR="001760AF">
              <w:rPr>
                <w:rFonts w:cs="Arial"/>
                <w:b/>
              </w:rPr>
              <w:t xml:space="preserve"> </w:t>
            </w:r>
            <w:r w:rsidRPr="001760AF">
              <w:rPr>
                <w:rFonts w:cs="Arial"/>
                <w:b/>
              </w:rPr>
              <w:t>Fluoraufnahme (siehe auch: Einatmen, Verschlucken, Haut) sind wegen des Verlustes von intrazellul</w:t>
            </w:r>
            <w:r w:rsidRPr="001760AF">
              <w:rPr>
                <w:rFonts w:cs="Arial" w:hint="eastAsia"/>
                <w:b/>
              </w:rPr>
              <w:t>ä</w:t>
            </w:r>
            <w:r w:rsidRPr="001760AF">
              <w:rPr>
                <w:rFonts w:cs="Arial"/>
                <w:b/>
              </w:rPr>
              <w:t>rem Calcium</w:t>
            </w:r>
            <w:r w:rsidR="001760AF">
              <w:rPr>
                <w:rFonts w:cs="Arial"/>
                <w:b/>
              </w:rPr>
              <w:t xml:space="preserve"> </w:t>
            </w:r>
            <w:r w:rsidRPr="001760AF">
              <w:rPr>
                <w:rFonts w:cs="Arial"/>
                <w:b/>
              </w:rPr>
              <w:t>und Magnesium vital gef</w:t>
            </w:r>
            <w:r w:rsidRPr="001760AF">
              <w:rPr>
                <w:rFonts w:cs="Arial" w:hint="eastAsia"/>
                <w:b/>
              </w:rPr>
              <w:t>ä</w:t>
            </w:r>
            <w:r w:rsidRPr="001760AF">
              <w:rPr>
                <w:rFonts w:cs="Arial"/>
                <w:b/>
              </w:rPr>
              <w:t>hrdet, cave: Kammerflimmern! Bei Verdacht auf eine systemische Einwirkung ist</w:t>
            </w:r>
            <w:r w:rsidR="001760AF">
              <w:rPr>
                <w:rFonts w:cs="Arial"/>
                <w:b/>
              </w:rPr>
              <w:t xml:space="preserve"> </w:t>
            </w:r>
            <w:r w:rsidRPr="001760AF">
              <w:rPr>
                <w:rFonts w:cs="Arial"/>
                <w:b/>
              </w:rPr>
              <w:t xml:space="preserve">dringend eine intensivmedizinische </w:t>
            </w:r>
            <w:r w:rsidRPr="001760AF">
              <w:rPr>
                <w:rFonts w:cs="Arial" w:hint="eastAsia"/>
                <w:b/>
              </w:rPr>
              <w:t>Ü</w:t>
            </w:r>
            <w:r w:rsidRPr="001760AF">
              <w:rPr>
                <w:rFonts w:cs="Arial"/>
                <w:b/>
              </w:rPr>
              <w:t>berwachung und Therapie erforderlich. Dies gilt auch bei zun</w:t>
            </w:r>
            <w:r w:rsidRPr="001760AF">
              <w:rPr>
                <w:rFonts w:cs="Arial" w:hint="eastAsia"/>
                <w:b/>
              </w:rPr>
              <w:t>ä</w:t>
            </w:r>
            <w:r w:rsidRPr="001760AF">
              <w:rPr>
                <w:rFonts w:cs="Arial"/>
                <w:b/>
              </w:rPr>
              <w:t>chst</w:t>
            </w:r>
            <w:r w:rsidR="001760AF">
              <w:rPr>
                <w:rFonts w:cs="Arial"/>
                <w:b/>
              </w:rPr>
              <w:t xml:space="preserve"> </w:t>
            </w:r>
            <w:r w:rsidRPr="001760AF">
              <w:rPr>
                <w:rFonts w:cs="Arial"/>
                <w:b/>
              </w:rPr>
              <w:t>asymptomatischen Patienten. Die sofortige systemische Substitution von Calcium und Magnesium empfiehlt sich</w:t>
            </w:r>
            <w:r w:rsidR="001760AF">
              <w:rPr>
                <w:rFonts w:cs="Arial"/>
                <w:b/>
              </w:rPr>
              <w:t xml:space="preserve"> </w:t>
            </w:r>
            <w:r w:rsidRPr="001760AF">
              <w:rPr>
                <w:rFonts w:cs="Arial"/>
                <w:b/>
              </w:rPr>
              <w:t>auch bei lediglichem Verdacht auf systemische Wirkung.</w:t>
            </w:r>
          </w:p>
          <w:p w:rsidR="0094565F" w:rsidRPr="0094565F" w:rsidRDefault="0094565F" w:rsidP="0094565F">
            <w:pPr>
              <w:pStyle w:val="Textkrper2"/>
              <w:spacing w:before="0"/>
              <w:rPr>
                <w:rFonts w:cs="Arial"/>
              </w:rPr>
            </w:pPr>
          </w:p>
          <w:p w:rsidR="007F5A7E" w:rsidRDefault="0094565F" w:rsidP="0094565F">
            <w:pPr>
              <w:pStyle w:val="Textkrper2"/>
              <w:spacing w:before="0"/>
              <w:rPr>
                <w:rFonts w:cs="Arial"/>
              </w:rPr>
            </w:pPr>
            <w:r w:rsidRPr="0094565F">
              <w:rPr>
                <w:rFonts w:cs="Arial"/>
              </w:rPr>
              <w:t xml:space="preserve">Nach den heute vorliegenden Erfahrungen </w:t>
            </w:r>
            <w:r w:rsidR="007F5A7E">
              <w:rPr>
                <w:rFonts w:cs="Arial"/>
              </w:rPr>
              <w:t>wird</w:t>
            </w:r>
            <w:r w:rsidR="000E589A">
              <w:rPr>
                <w:rFonts w:cs="Arial"/>
              </w:rPr>
              <w:t xml:space="preserve"> </w:t>
            </w:r>
            <w:r w:rsidRPr="0094565F">
              <w:rPr>
                <w:rFonts w:cs="Arial"/>
              </w:rPr>
              <w:t>folgende</w:t>
            </w:r>
            <w:r w:rsidR="000E589A">
              <w:rPr>
                <w:rFonts w:cs="Arial"/>
              </w:rPr>
              <w:t xml:space="preserve"> </w:t>
            </w:r>
            <w:r w:rsidRPr="0094565F">
              <w:rPr>
                <w:rFonts w:cs="Arial"/>
              </w:rPr>
              <w:t>Behandlung von Flusss</w:t>
            </w:r>
            <w:r w:rsidRPr="0094565F">
              <w:rPr>
                <w:rFonts w:cs="Arial" w:hint="eastAsia"/>
              </w:rPr>
              <w:t>ä</w:t>
            </w:r>
            <w:r w:rsidRPr="0094565F">
              <w:rPr>
                <w:rFonts w:cs="Arial"/>
              </w:rPr>
              <w:t>urever</w:t>
            </w:r>
            <w:r w:rsidRPr="0094565F">
              <w:rPr>
                <w:rFonts w:cs="Arial" w:hint="eastAsia"/>
              </w:rPr>
              <w:t>ä</w:t>
            </w:r>
            <w:r w:rsidRPr="0094565F">
              <w:rPr>
                <w:rFonts w:cs="Arial"/>
              </w:rPr>
              <w:t>tzungen empfohlen</w:t>
            </w:r>
            <w:r w:rsidR="007F5A7E">
              <w:rPr>
                <w:rFonts w:cs="Arial"/>
              </w:rPr>
              <w:t>:</w:t>
            </w:r>
            <w:r w:rsidRPr="0094565F">
              <w:rPr>
                <w:rFonts w:cs="Arial"/>
              </w:rPr>
              <w:t xml:space="preserve"> </w:t>
            </w:r>
          </w:p>
          <w:p w:rsidR="0094565F" w:rsidRPr="0094565F" w:rsidRDefault="0094565F" w:rsidP="0094565F">
            <w:pPr>
              <w:pStyle w:val="Textkrper2"/>
              <w:spacing w:before="0"/>
              <w:rPr>
                <w:rFonts w:cs="Arial"/>
                <w:b/>
              </w:rPr>
            </w:pPr>
            <w:r w:rsidRPr="0094565F">
              <w:rPr>
                <w:rFonts w:cs="Arial"/>
                <w:b/>
              </w:rPr>
              <w:t>Einatmen</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Intraven</w:t>
            </w:r>
            <w:r w:rsidRPr="0094565F">
              <w:rPr>
                <w:rFonts w:cs="Arial" w:hint="eastAsia"/>
              </w:rPr>
              <w:t>ö</w:t>
            </w:r>
            <w:r w:rsidRPr="0094565F">
              <w:rPr>
                <w:rFonts w:cs="Arial"/>
              </w:rPr>
              <w:t>se Gabe von Calcium und Magnesium (z. B. als Magnesiumchlorid und Calciumchlorid in</w:t>
            </w:r>
            <w:r>
              <w:rPr>
                <w:rFonts w:cs="Arial"/>
              </w:rPr>
              <w:t xml:space="preserve"> </w:t>
            </w:r>
            <w:r w:rsidRPr="0094565F">
              <w:rPr>
                <w:rFonts w:cs="Arial"/>
              </w:rPr>
              <w:t>entsprechenden Elektrolyt-Infusionsl</w:t>
            </w:r>
            <w:r w:rsidRPr="0094565F">
              <w:rPr>
                <w:rFonts w:cs="Arial" w:hint="eastAsia"/>
              </w:rPr>
              <w:t>ö</w:t>
            </w:r>
            <w:r w:rsidRPr="0094565F">
              <w:rPr>
                <w:rFonts w:cs="Arial"/>
              </w:rPr>
              <w:t>sungen) unter Kontrolle des Serum-Calcium- und Magnesium-</w:t>
            </w:r>
            <w:r w:rsidR="001760AF">
              <w:rPr>
                <w:rFonts w:cs="Arial"/>
              </w:rPr>
              <w:t>Spiegels sowie EKG-Ü</w:t>
            </w:r>
            <w:r w:rsidRPr="0094565F">
              <w:rPr>
                <w:rFonts w:cs="Arial"/>
              </w:rPr>
              <w:t>berwachung.</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Bei Hinweisen auf die Entstehung eines Lungen</w:t>
            </w:r>
            <w:r w:rsidRPr="0094565F">
              <w:rPr>
                <w:rFonts w:cs="Arial" w:hint="eastAsia"/>
              </w:rPr>
              <w:t>ö</w:t>
            </w:r>
            <w:r w:rsidRPr="0094565F">
              <w:rPr>
                <w:rFonts w:cs="Arial"/>
              </w:rPr>
              <w:t>dems k</w:t>
            </w:r>
            <w:r w:rsidRPr="0094565F">
              <w:rPr>
                <w:rFonts w:cs="Arial" w:hint="eastAsia"/>
              </w:rPr>
              <w:t>ö</w:t>
            </w:r>
            <w:r w:rsidRPr="0094565F">
              <w:rPr>
                <w:rFonts w:cs="Arial"/>
              </w:rPr>
              <w:t xml:space="preserve">nnen klinische </w:t>
            </w:r>
            <w:r w:rsidRPr="0094565F">
              <w:rPr>
                <w:rFonts w:cs="Arial" w:hint="eastAsia"/>
              </w:rPr>
              <w:t>Ü</w:t>
            </w:r>
            <w:r w:rsidRPr="0094565F">
              <w:rPr>
                <w:rFonts w:cs="Arial"/>
              </w:rPr>
              <w:t>berwachung,</w:t>
            </w:r>
            <w:r w:rsidR="001760AF">
              <w:rPr>
                <w:rFonts w:cs="Arial"/>
              </w:rPr>
              <w:t xml:space="preserve"> </w:t>
            </w:r>
            <w:r w:rsidRPr="0094565F">
              <w:rPr>
                <w:rFonts w:cs="Arial"/>
              </w:rPr>
              <w:t>R</w:t>
            </w:r>
            <w:r w:rsidRPr="0094565F">
              <w:rPr>
                <w:rFonts w:cs="Arial" w:hint="eastAsia"/>
              </w:rPr>
              <w:t>ö</w:t>
            </w:r>
            <w:r w:rsidRPr="0094565F">
              <w:rPr>
                <w:rFonts w:cs="Arial"/>
              </w:rPr>
              <w:t>ntgenthoraxkontrollen, Vitalographie, Beatmung und die Gabe von Sauerstoff, Glucocorticoiden,</w:t>
            </w:r>
            <w:r w:rsidR="001760AF">
              <w:rPr>
                <w:rFonts w:cs="Arial"/>
              </w:rPr>
              <w:t xml:space="preserve"> </w:t>
            </w:r>
            <w:r w:rsidRPr="0094565F">
              <w:rPr>
                <w:rFonts w:cs="Arial"/>
              </w:rPr>
              <w:t>Bronchodilatatoren, Antitussiva, Sedativa, Herzglykosiden und Antibiotika (Pneumonieprophylaxe)</w:t>
            </w:r>
            <w:r w:rsidR="001760AF">
              <w:rPr>
                <w:rFonts w:cs="Arial"/>
              </w:rPr>
              <w:t xml:space="preserve"> </w:t>
            </w:r>
            <w:r w:rsidRPr="0094565F">
              <w:rPr>
                <w:rFonts w:cs="Arial"/>
              </w:rPr>
              <w:t>sinnvoll sein.</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Zus</w:t>
            </w:r>
            <w:r w:rsidRPr="0094565F">
              <w:rPr>
                <w:rFonts w:cs="Arial" w:hint="eastAsia"/>
              </w:rPr>
              <w:t>ä</w:t>
            </w:r>
            <w:r w:rsidRPr="0094565F">
              <w:rPr>
                <w:rFonts w:cs="Arial"/>
              </w:rPr>
              <w:t>tzlich wird die Inhalation einer 2,5</w:t>
            </w:r>
            <w:r w:rsidRPr="0094565F">
              <w:rPr>
                <w:rFonts w:cs="Arial" w:hint="eastAsia"/>
              </w:rPr>
              <w:t>–</w:t>
            </w:r>
            <w:r w:rsidRPr="0094565F">
              <w:rPr>
                <w:rFonts w:cs="Arial"/>
              </w:rPr>
              <w:t>3%igen Calciumgluconatl</w:t>
            </w:r>
            <w:r w:rsidRPr="0094565F">
              <w:rPr>
                <w:rFonts w:cs="Arial" w:hint="eastAsia"/>
              </w:rPr>
              <w:t>ö</w:t>
            </w:r>
            <w:r w:rsidRPr="0094565F">
              <w:rPr>
                <w:rFonts w:cs="Arial"/>
              </w:rPr>
              <w:t>sung in physiologischer Kochsalzl</w:t>
            </w:r>
            <w:r w:rsidRPr="0094565F">
              <w:rPr>
                <w:rFonts w:cs="Arial" w:hint="eastAsia"/>
              </w:rPr>
              <w:t>ö</w:t>
            </w:r>
            <w:r w:rsidRPr="0094565F">
              <w:rPr>
                <w:rFonts w:cs="Arial"/>
              </w:rPr>
              <w:t>sung</w:t>
            </w:r>
            <w:r w:rsidR="001760AF">
              <w:rPr>
                <w:rFonts w:cs="Arial"/>
              </w:rPr>
              <w:t xml:space="preserve"> </w:t>
            </w:r>
            <w:r w:rsidRPr="0094565F">
              <w:rPr>
                <w:rFonts w:cs="Arial" w:hint="eastAsia"/>
              </w:rPr>
              <w:t>ü</w:t>
            </w:r>
            <w:r w:rsidRPr="0094565F">
              <w:rPr>
                <w:rFonts w:cs="Arial"/>
              </w:rPr>
              <w:t>ber einen Vernebler empfohlen.</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Intensivmedizinische Beobachtung </w:t>
            </w:r>
            <w:r w:rsidRPr="0094565F">
              <w:rPr>
                <w:rFonts w:cs="Arial" w:hint="eastAsia"/>
              </w:rPr>
              <w:t>ü</w:t>
            </w:r>
            <w:r w:rsidRPr="0094565F">
              <w:rPr>
                <w:rFonts w:cs="Arial"/>
              </w:rPr>
              <w:t xml:space="preserve">ber 24 bis 48 Stunden und </w:t>
            </w:r>
            <w:r w:rsidRPr="0094565F">
              <w:rPr>
                <w:rFonts w:cs="Arial" w:hint="eastAsia"/>
              </w:rPr>
              <w:t>–</w:t>
            </w:r>
            <w:r w:rsidRPr="0094565F">
              <w:rPr>
                <w:rFonts w:cs="Arial"/>
              </w:rPr>
              <w:t xml:space="preserve"> falls erforderlich </w:t>
            </w:r>
            <w:r w:rsidRPr="0094565F">
              <w:rPr>
                <w:rFonts w:cs="Arial" w:hint="eastAsia"/>
              </w:rPr>
              <w:t>–</w:t>
            </w:r>
            <w:r w:rsidRPr="0094565F">
              <w:rPr>
                <w:rFonts w:cs="Arial"/>
              </w:rPr>
              <w:t xml:space="preserve"> Behandlung.</w:t>
            </w:r>
          </w:p>
          <w:p w:rsidR="0094565F" w:rsidRPr="001760AF" w:rsidRDefault="0094565F" w:rsidP="0094565F">
            <w:pPr>
              <w:pStyle w:val="Textkrper2"/>
              <w:spacing w:before="0"/>
              <w:rPr>
                <w:rFonts w:cs="Arial"/>
                <w:b/>
              </w:rPr>
            </w:pPr>
            <w:r w:rsidRPr="001760AF">
              <w:rPr>
                <w:rFonts w:cs="Arial"/>
                <w:b/>
              </w:rPr>
              <w:t>Verschlucken</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Vorsichtige endoskopische Untersuchung und schnellstm</w:t>
            </w:r>
            <w:r w:rsidRPr="0094565F">
              <w:rPr>
                <w:rFonts w:cs="Arial" w:hint="eastAsia"/>
              </w:rPr>
              <w:t>ö</w:t>
            </w:r>
            <w:r w:rsidRPr="0094565F">
              <w:rPr>
                <w:rFonts w:cs="Arial"/>
              </w:rPr>
              <w:t>gliche Magenentleerung.</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Magensp</w:t>
            </w:r>
            <w:r w:rsidRPr="0094565F">
              <w:rPr>
                <w:rFonts w:cs="Arial" w:hint="eastAsia"/>
              </w:rPr>
              <w:t>ü</w:t>
            </w:r>
            <w:r w:rsidRPr="0094565F">
              <w:rPr>
                <w:rFonts w:cs="Arial"/>
              </w:rPr>
              <w:t>lung mit 1 %iger Calciumgluconatl</w:t>
            </w:r>
            <w:r w:rsidRPr="0094565F">
              <w:rPr>
                <w:rFonts w:cs="Arial" w:hint="eastAsia"/>
              </w:rPr>
              <w:t>ö</w:t>
            </w:r>
            <w:r w:rsidRPr="0094565F">
              <w:rPr>
                <w:rFonts w:cs="Arial"/>
              </w:rPr>
              <w:t>sung.</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Anschlie</w:t>
            </w:r>
            <w:r w:rsidRPr="0094565F">
              <w:rPr>
                <w:rFonts w:cs="Arial" w:hint="eastAsia"/>
              </w:rPr>
              <w:t>ß</w:t>
            </w:r>
            <w:r w:rsidRPr="0094565F">
              <w:rPr>
                <w:rFonts w:cs="Arial"/>
              </w:rPr>
              <w:t>end 40 g Calciumgluconat instillieren und belassen.</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Intensivmedizinische Beobachtung und eventuell Behandlung.</w:t>
            </w:r>
          </w:p>
          <w:p w:rsidR="0094565F" w:rsidRPr="001760AF" w:rsidRDefault="0094565F" w:rsidP="0094565F">
            <w:pPr>
              <w:pStyle w:val="Textkrper2"/>
              <w:spacing w:before="0"/>
              <w:rPr>
                <w:rFonts w:cs="Arial"/>
                <w:b/>
              </w:rPr>
            </w:pPr>
            <w:r w:rsidRPr="001760AF">
              <w:rPr>
                <w:rFonts w:cs="Arial"/>
                <w:b/>
              </w:rPr>
              <w:t>Haut</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Insbesondere bei frontaler Einwirkung ist immer auch mit einer m</w:t>
            </w:r>
            <w:r w:rsidRPr="0094565F">
              <w:rPr>
                <w:rFonts w:cs="Arial" w:hint="eastAsia"/>
              </w:rPr>
              <w:t>ö</w:t>
            </w:r>
            <w:r w:rsidRPr="0094565F">
              <w:rPr>
                <w:rFonts w:cs="Arial"/>
              </w:rPr>
              <w:t>glichen Einatmung zu rechnen und</w:t>
            </w:r>
          </w:p>
          <w:p w:rsidR="0094565F" w:rsidRPr="0094565F" w:rsidRDefault="0094565F" w:rsidP="0094565F">
            <w:pPr>
              <w:pStyle w:val="Textkrper2"/>
              <w:spacing w:before="0"/>
              <w:rPr>
                <w:rFonts w:cs="Arial"/>
              </w:rPr>
            </w:pPr>
            <w:r w:rsidRPr="0094565F">
              <w:rPr>
                <w:rFonts w:cs="Arial"/>
              </w:rPr>
              <w:t>entsprechend zu handeln.</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In vielen F</w:t>
            </w:r>
            <w:r w:rsidRPr="0094565F">
              <w:rPr>
                <w:rFonts w:cs="Arial" w:hint="eastAsia"/>
              </w:rPr>
              <w:t>ä</w:t>
            </w:r>
            <w:r w:rsidRPr="0094565F">
              <w:rPr>
                <w:rFonts w:cs="Arial"/>
              </w:rPr>
              <w:t>llen lokaler Einwirkung geringen Ausma</w:t>
            </w:r>
            <w:r w:rsidRPr="0094565F">
              <w:rPr>
                <w:rFonts w:cs="Arial" w:hint="eastAsia"/>
              </w:rPr>
              <w:t>ß</w:t>
            </w:r>
            <w:r w:rsidRPr="0094565F">
              <w:rPr>
                <w:rFonts w:cs="Arial"/>
              </w:rPr>
              <w:t>es, d. h. bei Vorliegen einer nur oberfl</w:t>
            </w:r>
            <w:r w:rsidRPr="0094565F">
              <w:rPr>
                <w:rFonts w:cs="Arial" w:hint="eastAsia"/>
              </w:rPr>
              <w:t>ä</w:t>
            </w:r>
            <w:r w:rsidRPr="0094565F">
              <w:rPr>
                <w:rFonts w:cs="Arial"/>
              </w:rPr>
              <w:t>chlichen</w:t>
            </w:r>
          </w:p>
          <w:p w:rsidR="0094565F" w:rsidRPr="0094565F" w:rsidRDefault="0094565F" w:rsidP="0094565F">
            <w:pPr>
              <w:pStyle w:val="Textkrper2"/>
              <w:spacing w:before="0"/>
              <w:rPr>
                <w:rFonts w:cs="Arial"/>
              </w:rPr>
            </w:pPr>
            <w:r w:rsidRPr="0094565F">
              <w:rPr>
                <w:rFonts w:cs="Arial"/>
              </w:rPr>
              <w:t>Reizung bzw. R</w:t>
            </w:r>
            <w:r w:rsidRPr="0094565F">
              <w:rPr>
                <w:rFonts w:cs="Arial" w:hint="eastAsia"/>
              </w:rPr>
              <w:t>ö</w:t>
            </w:r>
            <w:r w:rsidRPr="0094565F">
              <w:rPr>
                <w:rFonts w:cs="Arial"/>
              </w:rPr>
              <w:t>tung der Haut, gen</w:t>
            </w:r>
            <w:r w:rsidRPr="0094565F">
              <w:rPr>
                <w:rFonts w:cs="Arial" w:hint="eastAsia"/>
              </w:rPr>
              <w:t>ü</w:t>
            </w:r>
            <w:r w:rsidRPr="0094565F">
              <w:rPr>
                <w:rFonts w:cs="Arial"/>
              </w:rPr>
              <w:t>gt das Fortf</w:t>
            </w:r>
            <w:r w:rsidRPr="0094565F">
              <w:rPr>
                <w:rFonts w:cs="Arial" w:hint="eastAsia"/>
              </w:rPr>
              <w:t>ü</w:t>
            </w:r>
            <w:r w:rsidRPr="0094565F">
              <w:rPr>
                <w:rFonts w:cs="Arial"/>
              </w:rPr>
              <w:t>hren Einreibens mit</w:t>
            </w:r>
            <w:r w:rsidR="001760AF">
              <w:rPr>
                <w:rFonts w:cs="Arial"/>
              </w:rPr>
              <w:t xml:space="preserve"> </w:t>
            </w:r>
            <w:r w:rsidRPr="0094565F">
              <w:rPr>
                <w:rFonts w:cs="Arial"/>
              </w:rPr>
              <w:t>Calciumgluconat-Gel. Anschlie</w:t>
            </w:r>
            <w:r w:rsidRPr="0094565F">
              <w:rPr>
                <w:rFonts w:cs="Arial" w:hint="eastAsia"/>
              </w:rPr>
              <w:t>ß</w:t>
            </w:r>
            <w:r w:rsidRPr="0094565F">
              <w:rPr>
                <w:rFonts w:cs="Arial"/>
              </w:rPr>
              <w:t>end Auftragen einer Glucocorticoid-Salbe.</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Bei Eindringen der Flusss</w:t>
            </w:r>
            <w:r w:rsidRPr="0094565F">
              <w:rPr>
                <w:rFonts w:cs="Arial" w:hint="eastAsia"/>
              </w:rPr>
              <w:t>ä</w:t>
            </w:r>
            <w:r w:rsidRPr="0094565F">
              <w:rPr>
                <w:rFonts w:cs="Arial"/>
              </w:rPr>
              <w:t>ure unter den Fingernagel: Fingernagelextraktion.</w:t>
            </w:r>
          </w:p>
          <w:p w:rsidR="0094565F" w:rsidRPr="0094565F" w:rsidRDefault="0094565F" w:rsidP="0094565F">
            <w:pPr>
              <w:pStyle w:val="Textkrper2"/>
              <w:spacing w:before="0"/>
              <w:rPr>
                <w:rFonts w:cs="Arial"/>
              </w:rPr>
            </w:pPr>
            <w:r w:rsidRPr="0094565F">
              <w:rPr>
                <w:rFonts w:cs="Arial" w:hint="eastAsia"/>
              </w:rPr>
              <w:t>•</w:t>
            </w:r>
            <w:r w:rsidRPr="0094565F">
              <w:rPr>
                <w:rFonts w:cs="Arial"/>
              </w:rPr>
              <w:t xml:space="preserve"> Bei Vorliegen st</w:t>
            </w:r>
            <w:r w:rsidRPr="0094565F">
              <w:rPr>
                <w:rFonts w:cs="Arial" w:hint="eastAsia"/>
              </w:rPr>
              <w:t>ä</w:t>
            </w:r>
            <w:r w:rsidRPr="0094565F">
              <w:rPr>
                <w:rFonts w:cs="Arial"/>
              </w:rPr>
              <w:t>rkerer lokaler Einwirkungen (zweitgradige oder drittgradige Ver</w:t>
            </w:r>
            <w:r w:rsidRPr="0094565F">
              <w:rPr>
                <w:rFonts w:cs="Arial" w:hint="eastAsia"/>
              </w:rPr>
              <w:t>ä</w:t>
            </w:r>
            <w:r w:rsidRPr="0094565F">
              <w:rPr>
                <w:rFonts w:cs="Arial"/>
              </w:rPr>
              <w:t>tzungen) haben sich die</w:t>
            </w:r>
            <w:r w:rsidR="001760AF">
              <w:rPr>
                <w:rFonts w:cs="Arial"/>
              </w:rPr>
              <w:t xml:space="preserve"> </w:t>
            </w:r>
            <w:r w:rsidRPr="0094565F">
              <w:rPr>
                <w:rFonts w:cs="Arial"/>
              </w:rPr>
              <w:t>folgenden drei Methoden zur Behandlung von Flusss</w:t>
            </w:r>
            <w:r w:rsidRPr="0094565F">
              <w:rPr>
                <w:rFonts w:cs="Arial" w:hint="eastAsia"/>
              </w:rPr>
              <w:t>ä</w:t>
            </w:r>
            <w:r w:rsidRPr="0094565F">
              <w:rPr>
                <w:rFonts w:cs="Arial"/>
              </w:rPr>
              <w:t>urever</w:t>
            </w:r>
            <w:r w:rsidRPr="0094565F">
              <w:rPr>
                <w:rFonts w:cs="Arial" w:hint="eastAsia"/>
              </w:rPr>
              <w:t>ä</w:t>
            </w:r>
            <w:r w:rsidRPr="0094565F">
              <w:rPr>
                <w:rFonts w:cs="Arial"/>
              </w:rPr>
              <w:t>tzungen bew</w:t>
            </w:r>
            <w:r w:rsidRPr="0094565F">
              <w:rPr>
                <w:rFonts w:cs="Arial" w:hint="eastAsia"/>
              </w:rPr>
              <w:t>ä</w:t>
            </w:r>
            <w:r w:rsidRPr="0094565F">
              <w:rPr>
                <w:rFonts w:cs="Arial"/>
              </w:rPr>
              <w:t>hrt:</w:t>
            </w:r>
          </w:p>
          <w:p w:rsidR="0094565F" w:rsidRPr="001760AF" w:rsidRDefault="0094565F" w:rsidP="0094565F">
            <w:pPr>
              <w:pStyle w:val="Textkrper2"/>
              <w:spacing w:before="0"/>
              <w:rPr>
                <w:rFonts w:cs="Arial"/>
                <w:u w:val="single"/>
              </w:rPr>
            </w:pPr>
            <w:r w:rsidRPr="001760AF">
              <w:rPr>
                <w:rFonts w:cs="Arial"/>
                <w:u w:val="single"/>
              </w:rPr>
              <w:t>1. Methode</w:t>
            </w:r>
          </w:p>
          <w:p w:rsidR="0094565F" w:rsidRPr="0094565F" w:rsidRDefault="0094565F" w:rsidP="0094565F">
            <w:pPr>
              <w:pStyle w:val="Textkrper2"/>
              <w:spacing w:before="0"/>
              <w:rPr>
                <w:rFonts w:cs="Arial"/>
              </w:rPr>
            </w:pPr>
            <w:r w:rsidRPr="0094565F">
              <w:rPr>
                <w:rFonts w:cs="Arial"/>
              </w:rPr>
              <w:t>Bei zweit- und drittgradigen Ver</w:t>
            </w:r>
            <w:r w:rsidRPr="0094565F">
              <w:rPr>
                <w:rFonts w:cs="Arial" w:hint="eastAsia"/>
              </w:rPr>
              <w:t>ä</w:t>
            </w:r>
            <w:r w:rsidRPr="0094565F">
              <w:rPr>
                <w:rFonts w:cs="Arial"/>
              </w:rPr>
              <w:t>tzungen sollte das ver</w:t>
            </w:r>
            <w:r w:rsidRPr="0094565F">
              <w:rPr>
                <w:rFonts w:cs="Arial" w:hint="eastAsia"/>
              </w:rPr>
              <w:t>ä</w:t>
            </w:r>
            <w:r w:rsidRPr="0094565F">
              <w:rPr>
                <w:rFonts w:cs="Arial"/>
              </w:rPr>
              <w:t>tzte Hautareal mit Calciumgluconat 10%ig bis zur</w:t>
            </w:r>
            <w:r w:rsidR="001760AF">
              <w:rPr>
                <w:rFonts w:cs="Arial"/>
              </w:rPr>
              <w:t xml:space="preserve"> </w:t>
            </w:r>
            <w:r w:rsidRPr="0094565F">
              <w:rPr>
                <w:rFonts w:cs="Arial"/>
              </w:rPr>
              <w:t>Schmerzfreiheit unterspritzt werden mit Polsterbildung (f</w:t>
            </w:r>
            <w:r w:rsidRPr="0094565F">
              <w:rPr>
                <w:rFonts w:cs="Arial" w:hint="eastAsia"/>
              </w:rPr>
              <w:t>ü</w:t>
            </w:r>
            <w:r w:rsidRPr="0094565F">
              <w:rPr>
                <w:rFonts w:cs="Arial"/>
              </w:rPr>
              <w:t>r ein Areal von etwa 6 cm Durchmesser ben</w:t>
            </w:r>
            <w:r w:rsidRPr="0094565F">
              <w:rPr>
                <w:rFonts w:cs="Arial" w:hint="eastAsia"/>
              </w:rPr>
              <w:t>ö</w:t>
            </w:r>
            <w:r w:rsidRPr="0094565F">
              <w:rPr>
                <w:rFonts w:cs="Arial"/>
              </w:rPr>
              <w:t>tigt</w:t>
            </w:r>
            <w:r w:rsidR="001760AF">
              <w:rPr>
                <w:rFonts w:cs="Arial"/>
              </w:rPr>
              <w:t xml:space="preserve"> </w:t>
            </w:r>
            <w:r w:rsidRPr="0094565F">
              <w:rPr>
                <w:rFonts w:cs="Arial"/>
              </w:rPr>
              <w:t>man 1 Ampulle Calciumgluconat = 10 ml).</w:t>
            </w:r>
          </w:p>
          <w:p w:rsidR="0094565F" w:rsidRPr="001760AF" w:rsidRDefault="0094565F" w:rsidP="0094565F">
            <w:pPr>
              <w:pStyle w:val="Textkrper2"/>
              <w:spacing w:before="0"/>
              <w:rPr>
                <w:rFonts w:cs="Arial"/>
                <w:u w:val="single"/>
              </w:rPr>
            </w:pPr>
            <w:r w:rsidRPr="001760AF">
              <w:rPr>
                <w:rFonts w:cs="Arial"/>
                <w:u w:val="single"/>
              </w:rPr>
              <w:t>2. Methode</w:t>
            </w:r>
          </w:p>
          <w:p w:rsidR="0094565F" w:rsidRPr="0094565F" w:rsidRDefault="0094565F" w:rsidP="0094565F">
            <w:pPr>
              <w:pStyle w:val="Textkrper2"/>
              <w:spacing w:before="0"/>
              <w:rPr>
                <w:rFonts w:cs="Arial"/>
              </w:rPr>
            </w:pPr>
            <w:r w:rsidRPr="0094565F">
              <w:rPr>
                <w:rFonts w:cs="Arial"/>
              </w:rPr>
              <w:t>Bei bestehenden Hautnekrosen (Ver</w:t>
            </w:r>
            <w:r w:rsidRPr="0094565F">
              <w:rPr>
                <w:rFonts w:cs="Arial" w:hint="eastAsia"/>
              </w:rPr>
              <w:t>ä</w:t>
            </w:r>
            <w:r w:rsidRPr="0094565F">
              <w:rPr>
                <w:rFonts w:cs="Arial"/>
              </w:rPr>
              <w:t>tzungsgrad 2b und 3) und bei vitaler Bedrohung durch gro</w:t>
            </w:r>
            <w:r w:rsidRPr="0094565F">
              <w:rPr>
                <w:rFonts w:cs="Arial" w:hint="eastAsia"/>
              </w:rPr>
              <w:t>ß</w:t>
            </w:r>
            <w:r w:rsidRPr="0094565F">
              <w:rPr>
                <w:rFonts w:cs="Arial"/>
              </w:rPr>
              <w:t>fl</w:t>
            </w:r>
            <w:r w:rsidRPr="0094565F">
              <w:rPr>
                <w:rFonts w:cs="Arial" w:hint="eastAsia"/>
              </w:rPr>
              <w:t>ä</w:t>
            </w:r>
            <w:r w:rsidRPr="0094565F">
              <w:rPr>
                <w:rFonts w:cs="Arial"/>
              </w:rPr>
              <w:t>chige</w:t>
            </w:r>
          </w:p>
          <w:p w:rsidR="001760AF" w:rsidRPr="001760AF" w:rsidRDefault="0094565F" w:rsidP="001760AF">
            <w:pPr>
              <w:pStyle w:val="Textkrper2"/>
              <w:spacing w:before="0"/>
              <w:rPr>
                <w:rFonts w:cs="Arial"/>
              </w:rPr>
            </w:pPr>
            <w:r w:rsidRPr="0094565F">
              <w:rPr>
                <w:rFonts w:cs="Arial"/>
              </w:rPr>
              <w:t>Ver</w:t>
            </w:r>
            <w:r w:rsidRPr="0094565F">
              <w:rPr>
                <w:rFonts w:cs="Arial" w:hint="eastAsia"/>
              </w:rPr>
              <w:t>ä</w:t>
            </w:r>
            <w:r w:rsidRPr="0094565F">
              <w:rPr>
                <w:rFonts w:cs="Arial"/>
              </w:rPr>
              <w:t>tzungen sollte die energische, prim</w:t>
            </w:r>
            <w:r w:rsidRPr="0094565F">
              <w:rPr>
                <w:rFonts w:cs="Arial" w:hint="eastAsia"/>
              </w:rPr>
              <w:t>ä</w:t>
            </w:r>
            <w:r w:rsidRPr="0094565F">
              <w:rPr>
                <w:rFonts w:cs="Arial"/>
              </w:rPr>
              <w:t>re dermatochirurgische Wundrevision mit sauberer Entfernung</w:t>
            </w:r>
            <w:r w:rsidR="001760AF">
              <w:rPr>
                <w:rFonts w:cs="Arial"/>
              </w:rPr>
              <w:t xml:space="preserve"> </w:t>
            </w:r>
            <w:r w:rsidRPr="0094565F">
              <w:rPr>
                <w:rFonts w:cs="Arial"/>
              </w:rPr>
              <w:t>aller schon nekrotisch und irreversibel gesch</w:t>
            </w:r>
            <w:r w:rsidRPr="0094565F">
              <w:rPr>
                <w:rFonts w:cs="Arial" w:hint="eastAsia"/>
              </w:rPr>
              <w:t>ä</w:t>
            </w:r>
            <w:r w:rsidRPr="0094565F">
              <w:rPr>
                <w:rFonts w:cs="Arial"/>
              </w:rPr>
              <w:t>digt erscheinenden Hautpartien mit prim</w:t>
            </w:r>
            <w:r w:rsidRPr="0094565F">
              <w:rPr>
                <w:rFonts w:cs="Arial" w:hint="eastAsia"/>
              </w:rPr>
              <w:t>ä</w:t>
            </w:r>
            <w:r w:rsidRPr="0094565F">
              <w:rPr>
                <w:rFonts w:cs="Arial"/>
              </w:rPr>
              <w:t>rer</w:t>
            </w:r>
            <w:r w:rsidR="001760AF">
              <w:rPr>
                <w:rFonts w:cs="Arial"/>
              </w:rPr>
              <w:t xml:space="preserve"> </w:t>
            </w:r>
            <w:r w:rsidRPr="0094565F">
              <w:rPr>
                <w:rFonts w:cs="Arial"/>
              </w:rPr>
              <w:t>Hauttransplantation erfolgen. Als Erstbehandlung muss hier auch die Unterspritzung (1. Methode)</w:t>
            </w:r>
            <w:r w:rsidR="001760AF">
              <w:rPr>
                <w:rFonts w:cs="Arial"/>
              </w:rPr>
              <w:t xml:space="preserve"> </w:t>
            </w:r>
            <w:r w:rsidRPr="0094565F">
              <w:rPr>
                <w:rFonts w:cs="Arial"/>
              </w:rPr>
              <w:t>durchgef</w:t>
            </w:r>
            <w:r w:rsidRPr="0094565F">
              <w:rPr>
                <w:rFonts w:cs="Arial" w:hint="eastAsia"/>
              </w:rPr>
              <w:t>ü</w:t>
            </w:r>
            <w:r w:rsidRPr="0094565F">
              <w:rPr>
                <w:rFonts w:cs="Arial"/>
              </w:rPr>
              <w:t>hrt werden. Bei ausgedehnten Ver</w:t>
            </w:r>
            <w:r w:rsidRPr="0094565F">
              <w:rPr>
                <w:rFonts w:cs="Arial" w:hint="eastAsia"/>
              </w:rPr>
              <w:t>ä</w:t>
            </w:r>
            <w:r w:rsidRPr="0094565F">
              <w:rPr>
                <w:rFonts w:cs="Arial"/>
              </w:rPr>
              <w:t>tzungen m</w:t>
            </w:r>
            <w:r w:rsidRPr="0094565F">
              <w:rPr>
                <w:rFonts w:cs="Arial" w:hint="eastAsia"/>
              </w:rPr>
              <w:t>ü</w:t>
            </w:r>
            <w:r w:rsidRPr="0094565F">
              <w:rPr>
                <w:rFonts w:cs="Arial"/>
              </w:rPr>
              <w:t>ssen Calcium und Magnesium substituiert</w:t>
            </w:r>
            <w:r w:rsidR="001760AF">
              <w:rPr>
                <w:rFonts w:cs="Arial"/>
              </w:rPr>
              <w:t xml:space="preserve"> </w:t>
            </w:r>
            <w:r w:rsidRPr="0094565F">
              <w:rPr>
                <w:rFonts w:cs="Arial"/>
              </w:rPr>
              <w:t>werden. Ab einer etwa handtellergro</w:t>
            </w:r>
            <w:r w:rsidRPr="0094565F">
              <w:rPr>
                <w:rFonts w:cs="Arial" w:hint="eastAsia"/>
              </w:rPr>
              <w:t>ß</w:t>
            </w:r>
            <w:r w:rsidRPr="0094565F">
              <w:rPr>
                <w:rFonts w:cs="Arial"/>
              </w:rPr>
              <w:t>en drittgradigen Ver</w:t>
            </w:r>
            <w:r w:rsidRPr="0094565F">
              <w:rPr>
                <w:rFonts w:cs="Arial" w:hint="eastAsia"/>
              </w:rPr>
              <w:t>ä</w:t>
            </w:r>
            <w:r w:rsidRPr="0094565F">
              <w:rPr>
                <w:rFonts w:cs="Arial"/>
              </w:rPr>
              <w:t>tzung empfiehlt sich die Gabe von Calcium und</w:t>
            </w:r>
            <w:r w:rsidR="001760AF">
              <w:rPr>
                <w:rFonts w:cs="Arial"/>
              </w:rPr>
              <w:t xml:space="preserve"> </w:t>
            </w:r>
            <w:r w:rsidRPr="0094565F">
              <w:rPr>
                <w:rFonts w:cs="Arial"/>
              </w:rPr>
              <w:t>Magnesium (z. B. als Calciumchlorid und Magnesiumchlorid in entsprechenden Elektrolyt-</w:t>
            </w:r>
            <w:r w:rsidR="001760AF" w:rsidRPr="001760AF">
              <w:rPr>
                <w:rFonts w:cs="Arial"/>
              </w:rPr>
              <w:t>Infusionsl</w:t>
            </w:r>
            <w:r w:rsidR="001760AF" w:rsidRPr="001760AF">
              <w:rPr>
                <w:rFonts w:cs="Arial" w:hint="eastAsia"/>
              </w:rPr>
              <w:t>ö</w:t>
            </w:r>
            <w:r w:rsidR="001760AF" w:rsidRPr="001760AF">
              <w:rPr>
                <w:rFonts w:cs="Arial"/>
              </w:rPr>
              <w:t>sungen) unter Kontrolle des Serum-Calcium- und Magnesium-Spiegels sowie EKG</w:t>
            </w:r>
            <w:r w:rsidR="001760AF" w:rsidRPr="001760AF">
              <w:rPr>
                <w:rFonts w:cs="Arial" w:hint="eastAsia"/>
              </w:rPr>
              <w:t>Ü</w:t>
            </w:r>
            <w:r w:rsidR="001760AF" w:rsidRPr="001760AF">
              <w:rPr>
                <w:rFonts w:cs="Arial"/>
              </w:rPr>
              <w:t>berwachung.</w:t>
            </w:r>
          </w:p>
          <w:p w:rsidR="001760AF" w:rsidRPr="001760AF" w:rsidRDefault="001760AF" w:rsidP="001760AF">
            <w:pPr>
              <w:pStyle w:val="Textkrper2"/>
              <w:spacing w:before="0"/>
              <w:rPr>
                <w:rFonts w:cs="Arial"/>
              </w:rPr>
            </w:pPr>
            <w:r w:rsidRPr="001760AF">
              <w:rPr>
                <w:rFonts w:cs="Arial"/>
              </w:rPr>
              <w:t>Diese vital gef</w:t>
            </w:r>
            <w:r w:rsidRPr="001760AF">
              <w:rPr>
                <w:rFonts w:cs="Arial" w:hint="eastAsia"/>
              </w:rPr>
              <w:t>ä</w:t>
            </w:r>
            <w:r w:rsidRPr="001760AF">
              <w:rPr>
                <w:rFonts w:cs="Arial"/>
              </w:rPr>
              <w:t xml:space="preserve">hrdeten Patienten sind intensivmedizinisch zu </w:t>
            </w:r>
            <w:r w:rsidRPr="001760AF">
              <w:rPr>
                <w:rFonts w:cs="Arial" w:hint="eastAsia"/>
              </w:rPr>
              <w:t>ü</w:t>
            </w:r>
            <w:r w:rsidRPr="001760AF">
              <w:rPr>
                <w:rFonts w:cs="Arial"/>
              </w:rPr>
              <w:t>berwachen.</w:t>
            </w:r>
          </w:p>
          <w:p w:rsidR="001760AF" w:rsidRPr="001760AF" w:rsidRDefault="001760AF" w:rsidP="001760AF">
            <w:pPr>
              <w:pStyle w:val="Textkrper2"/>
              <w:spacing w:before="0"/>
              <w:rPr>
                <w:rFonts w:cs="Arial"/>
                <w:u w:val="single"/>
              </w:rPr>
            </w:pPr>
            <w:r w:rsidRPr="001760AF">
              <w:rPr>
                <w:rFonts w:cs="Arial"/>
                <w:u w:val="single"/>
              </w:rPr>
              <w:t>3. Methode</w:t>
            </w:r>
          </w:p>
          <w:p w:rsidR="001760AF" w:rsidRPr="001760AF" w:rsidRDefault="001760AF" w:rsidP="001760AF">
            <w:pPr>
              <w:pStyle w:val="Textkrper2"/>
              <w:spacing w:before="0"/>
              <w:rPr>
                <w:rFonts w:cs="Arial"/>
              </w:rPr>
            </w:pPr>
            <w:r w:rsidRPr="001760AF">
              <w:rPr>
                <w:rFonts w:cs="Arial"/>
              </w:rPr>
              <w:t>Bei Vorliegen von zweit- und drittgradigen Ver</w:t>
            </w:r>
            <w:r w:rsidRPr="001760AF">
              <w:rPr>
                <w:rFonts w:cs="Arial" w:hint="eastAsia"/>
              </w:rPr>
              <w:t>ä</w:t>
            </w:r>
            <w:r w:rsidRPr="001760AF">
              <w:rPr>
                <w:rFonts w:cs="Arial"/>
              </w:rPr>
              <w:t>tzungen im Hand- und Fu</w:t>
            </w:r>
            <w:r w:rsidRPr="001760AF">
              <w:rPr>
                <w:rFonts w:cs="Arial" w:hint="eastAsia"/>
              </w:rPr>
              <w:t>ß</w:t>
            </w:r>
            <w:r w:rsidRPr="001760AF">
              <w:rPr>
                <w:rFonts w:cs="Arial"/>
              </w:rPr>
              <w:t>bereich: intraarterielle</w:t>
            </w:r>
            <w:r>
              <w:rPr>
                <w:rFonts w:cs="Arial"/>
              </w:rPr>
              <w:t xml:space="preserve"> </w:t>
            </w:r>
            <w:r w:rsidRPr="001760AF">
              <w:rPr>
                <w:rFonts w:cs="Arial"/>
              </w:rPr>
              <w:t>Calciumgluconatgabe in die proximal der L</w:t>
            </w:r>
            <w:r w:rsidRPr="001760AF">
              <w:rPr>
                <w:rFonts w:cs="Arial" w:hint="eastAsia"/>
              </w:rPr>
              <w:t>ä</w:t>
            </w:r>
            <w:r w:rsidRPr="001760AF">
              <w:rPr>
                <w:rFonts w:cs="Arial"/>
              </w:rPr>
              <w:t>sion gelegene Arterie.</w:t>
            </w:r>
          </w:p>
          <w:p w:rsidR="00263CBD" w:rsidRDefault="001760AF" w:rsidP="001760AF">
            <w:pPr>
              <w:pStyle w:val="Textkrper2"/>
              <w:spacing w:before="0"/>
              <w:rPr>
                <w:rFonts w:cs="Arial"/>
                <w:sz w:val="16"/>
              </w:rPr>
            </w:pPr>
            <w:r w:rsidRPr="001760AF">
              <w:rPr>
                <w:rFonts w:cs="Arial"/>
              </w:rPr>
              <w:t>Vorgehen: Punktion der zentral gelegenen Arterie, Einbringen eines arteriellen Katheters, intraarterielle</w:t>
            </w:r>
            <w:r>
              <w:rPr>
                <w:rFonts w:cs="Arial"/>
              </w:rPr>
              <w:t xml:space="preserve"> </w:t>
            </w:r>
            <w:r w:rsidRPr="001760AF">
              <w:rPr>
                <w:rFonts w:cs="Arial"/>
              </w:rPr>
              <w:t xml:space="preserve">Perfusion von 20 ml Calciumgluconat 10%ig und 30 ml NaCl 0,9%ig </w:t>
            </w:r>
            <w:r w:rsidRPr="001760AF">
              <w:rPr>
                <w:rFonts w:cs="Arial" w:hint="eastAsia"/>
              </w:rPr>
              <w:t>ü</w:t>
            </w:r>
            <w:r w:rsidRPr="001760AF">
              <w:rPr>
                <w:rFonts w:cs="Arial"/>
              </w:rPr>
              <w:t>ber 4 Stunden sowie</w:t>
            </w:r>
            <w:r>
              <w:rPr>
                <w:rFonts w:cs="Arial"/>
              </w:rPr>
              <w:t xml:space="preserve"> </w:t>
            </w:r>
            <w:r w:rsidRPr="001760AF">
              <w:rPr>
                <w:rFonts w:cs="Arial"/>
              </w:rPr>
              <w:t>Thromboseprophylaxe. Beim Auftreten von erneuten Schmerzen kann eine zweite Injektionsbehandlung</w:t>
            </w:r>
            <w:r>
              <w:rPr>
                <w:rFonts w:cs="Arial"/>
              </w:rPr>
              <w:t xml:space="preserve"> </w:t>
            </w:r>
            <w:r w:rsidRPr="001760AF">
              <w:rPr>
                <w:rFonts w:cs="Arial"/>
              </w:rPr>
              <w:t>notwendig werden. Die intraarterielle Calciumgluconatperfusion ist nur nach kritischer Indikationsstellung</w:t>
            </w:r>
            <w:r>
              <w:rPr>
                <w:rFonts w:cs="Arial"/>
              </w:rPr>
              <w:t xml:space="preserve"> </w:t>
            </w:r>
            <w:r w:rsidRPr="001760AF">
              <w:rPr>
                <w:rFonts w:cs="Arial"/>
              </w:rPr>
              <w:t>vorzunehmen. Sie sollte ausschlie</w:t>
            </w:r>
            <w:r w:rsidRPr="001760AF">
              <w:rPr>
                <w:rFonts w:cs="Arial" w:hint="eastAsia"/>
              </w:rPr>
              <w:t>ß</w:t>
            </w:r>
            <w:r w:rsidRPr="001760AF">
              <w:rPr>
                <w:rFonts w:cs="Arial"/>
              </w:rPr>
              <w:t xml:space="preserve">lich in Kliniken von </w:t>
            </w:r>
            <w:r w:rsidRPr="001760AF">
              <w:rPr>
                <w:rFonts w:cs="Arial" w:hint="eastAsia"/>
              </w:rPr>
              <w:t>Ä</w:t>
            </w:r>
            <w:r w:rsidRPr="001760AF">
              <w:rPr>
                <w:rFonts w:cs="Arial"/>
              </w:rPr>
              <w:t xml:space="preserve">rztinnen und </w:t>
            </w:r>
            <w:r w:rsidRPr="001760AF">
              <w:rPr>
                <w:rFonts w:cs="Arial" w:hint="eastAsia"/>
              </w:rPr>
              <w:t>Ä</w:t>
            </w:r>
            <w:r w:rsidRPr="001760AF">
              <w:rPr>
                <w:rFonts w:cs="Arial"/>
              </w:rPr>
              <w:t>rzten mit Erfahrung in intraarterieller</w:t>
            </w:r>
            <w:r>
              <w:rPr>
                <w:rFonts w:cs="Arial"/>
              </w:rPr>
              <w:t xml:space="preserve"> </w:t>
            </w:r>
            <w:r w:rsidRPr="001760AF">
              <w:rPr>
                <w:rFonts w:cs="Arial"/>
              </w:rPr>
              <w:t>Injektionstechnik durchgef</w:t>
            </w:r>
            <w:r w:rsidRPr="001760AF">
              <w:rPr>
                <w:rFonts w:cs="Arial" w:hint="eastAsia"/>
              </w:rPr>
              <w:t>ü</w:t>
            </w:r>
            <w:r w:rsidRPr="001760AF">
              <w:rPr>
                <w:rFonts w:cs="Arial"/>
              </w:rPr>
              <w:t>hrt werden.</w:t>
            </w:r>
          </w:p>
        </w:tc>
      </w:tr>
    </w:tbl>
    <w:p w:rsidR="00263CBD" w:rsidRDefault="00263CBD">
      <w:pPr>
        <w:ind w:right="-1"/>
        <w:jc w:val="right"/>
        <w:rPr>
          <w:rFonts w:ascii="Arial" w:hAnsi="Arial" w:cs="Arial"/>
        </w:rPr>
      </w:pPr>
    </w:p>
    <w:sectPr w:rsidR="00263CBD" w:rsidSect="00F640AB">
      <w:pgSz w:w="11906" w:h="16838" w:code="9"/>
      <w:pgMar w:top="465" w:right="567" w:bottom="851"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D5" w:rsidRDefault="006B2CD5">
      <w:r>
        <w:separator/>
      </w:r>
    </w:p>
  </w:endnote>
  <w:endnote w:type="continuationSeparator" w:id="0">
    <w:p w:rsidR="006B2CD5" w:rsidRDefault="006B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charset w:val="00"/>
    <w:family w:val="roman"/>
    <w:pitch w:val="variable"/>
    <w:sig w:usb0="00000001" w:usb1="4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E0" w:rsidRPr="008809E0" w:rsidRDefault="008809E0" w:rsidP="008809E0">
    <w:pPr>
      <w:pStyle w:val="Fuzeile"/>
      <w:tabs>
        <w:tab w:val="clear" w:pos="9072"/>
        <w:tab w:val="right" w:pos="9781"/>
      </w:tabs>
      <w:ind w:left="-567"/>
    </w:pPr>
    <w:r w:rsidRPr="008809E0">
      <w:tab/>
    </w:r>
    <w:r w:rsidR="00F640AB">
      <w:tab/>
    </w:r>
    <w:r w:rsidRPr="008809E0">
      <w:t>Stand 20</w:t>
    </w:r>
    <w:r w:rsidR="00476DDA">
      <w:t>23</w:t>
    </w:r>
  </w:p>
  <w:p w:rsidR="008809E0" w:rsidRDefault="008809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BD" w:rsidRPr="008A457D" w:rsidRDefault="00F640AB" w:rsidP="008809E0">
    <w:pPr>
      <w:pStyle w:val="Fuzeile"/>
      <w:tabs>
        <w:tab w:val="clear" w:pos="9072"/>
        <w:tab w:val="right" w:pos="9781"/>
      </w:tabs>
      <w:ind w:left="-567"/>
      <w:rPr>
        <w:rFonts w:ascii="Arial" w:hAnsi="Arial" w:cs="Arial"/>
      </w:rPr>
    </w:pPr>
    <w:r>
      <w:tab/>
    </w:r>
    <w:r w:rsidR="008809E0">
      <w:tab/>
    </w:r>
    <w:r w:rsidR="00263CBD" w:rsidRPr="008A457D">
      <w:rPr>
        <w:rFonts w:ascii="Arial" w:hAnsi="Arial" w:cs="Arial"/>
      </w:rPr>
      <w:t>Stand</w:t>
    </w:r>
    <w:r w:rsidR="008A457D" w:rsidRPr="008A457D">
      <w:rPr>
        <w:rFonts w:ascii="Arial" w:hAnsi="Arial" w:cs="Arial"/>
      </w:rPr>
      <w:t>: 01/</w:t>
    </w:r>
    <w:r w:rsidR="00263CBD" w:rsidRPr="008A457D">
      <w:rPr>
        <w:rFonts w:ascii="Arial" w:hAnsi="Arial" w:cs="Arial"/>
      </w:rPr>
      <w:t>20</w:t>
    </w:r>
    <w:r w:rsidR="008A457D" w:rsidRPr="008A457D">
      <w:rPr>
        <w:rFonts w:ascii="Arial" w:hAnsi="Arial" w:cs="Arial"/>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D5" w:rsidRDefault="006B2CD5">
      <w:r>
        <w:separator/>
      </w:r>
    </w:p>
  </w:footnote>
  <w:footnote w:type="continuationSeparator" w:id="0">
    <w:p w:rsidR="006B2CD5" w:rsidRDefault="006B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BD" w:rsidRDefault="00263CB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02FC4">
      <w:rPr>
        <w:rStyle w:val="Seitenzahl"/>
        <w:noProof/>
      </w:rPr>
      <w:t>4</w:t>
    </w:r>
    <w:r>
      <w:rPr>
        <w:rStyle w:val="Seitenzahl"/>
      </w:rPr>
      <w:fldChar w:fldCharType="end"/>
    </w:r>
  </w:p>
  <w:p w:rsidR="00263CBD" w:rsidRDefault="00263CBD">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BD" w:rsidRDefault="00263CBD">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E435E"/>
    <w:multiLevelType w:val="hybridMultilevel"/>
    <w:tmpl w:val="4B6CD63A"/>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32E0225"/>
    <w:multiLevelType w:val="hybridMultilevel"/>
    <w:tmpl w:val="CF70BCAE"/>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27EE070F"/>
    <w:multiLevelType w:val="hybridMultilevel"/>
    <w:tmpl w:val="FFE818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69677405"/>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EAE4ABE"/>
    <w:multiLevelType w:val="hybridMultilevel"/>
    <w:tmpl w:val="F23222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4"/>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BD"/>
    <w:rsid w:val="00002FC4"/>
    <w:rsid w:val="00024253"/>
    <w:rsid w:val="0008256D"/>
    <w:rsid w:val="000E589A"/>
    <w:rsid w:val="00113950"/>
    <w:rsid w:val="001760AF"/>
    <w:rsid w:val="001A2126"/>
    <w:rsid w:val="001B2D41"/>
    <w:rsid w:val="001F6FA3"/>
    <w:rsid w:val="00263CBD"/>
    <w:rsid w:val="002D5F96"/>
    <w:rsid w:val="003136A6"/>
    <w:rsid w:val="00336FF9"/>
    <w:rsid w:val="003631C3"/>
    <w:rsid w:val="003B740C"/>
    <w:rsid w:val="00401303"/>
    <w:rsid w:val="00401CB4"/>
    <w:rsid w:val="00452E4B"/>
    <w:rsid w:val="00476DDA"/>
    <w:rsid w:val="00493423"/>
    <w:rsid w:val="004959A3"/>
    <w:rsid w:val="004D1A6D"/>
    <w:rsid w:val="004E0705"/>
    <w:rsid w:val="005025DB"/>
    <w:rsid w:val="00550262"/>
    <w:rsid w:val="005855AF"/>
    <w:rsid w:val="00592BA9"/>
    <w:rsid w:val="00594DA1"/>
    <w:rsid w:val="0061105D"/>
    <w:rsid w:val="00636968"/>
    <w:rsid w:val="00644D75"/>
    <w:rsid w:val="00645E70"/>
    <w:rsid w:val="00667588"/>
    <w:rsid w:val="00677DB4"/>
    <w:rsid w:val="006B2CD5"/>
    <w:rsid w:val="00701094"/>
    <w:rsid w:val="00717B71"/>
    <w:rsid w:val="007B05DD"/>
    <w:rsid w:val="007B62D7"/>
    <w:rsid w:val="007D6A00"/>
    <w:rsid w:val="007F5A7E"/>
    <w:rsid w:val="008809E0"/>
    <w:rsid w:val="00884D3D"/>
    <w:rsid w:val="008A3FCD"/>
    <w:rsid w:val="008A457D"/>
    <w:rsid w:val="008C687A"/>
    <w:rsid w:val="00904587"/>
    <w:rsid w:val="00906352"/>
    <w:rsid w:val="0094565F"/>
    <w:rsid w:val="009B341C"/>
    <w:rsid w:val="009B5C73"/>
    <w:rsid w:val="00A035DD"/>
    <w:rsid w:val="00A21ADB"/>
    <w:rsid w:val="00AB0E7C"/>
    <w:rsid w:val="00B150F5"/>
    <w:rsid w:val="00C7468E"/>
    <w:rsid w:val="00C976F1"/>
    <w:rsid w:val="00CA11C4"/>
    <w:rsid w:val="00CD345E"/>
    <w:rsid w:val="00D06283"/>
    <w:rsid w:val="00E07FDB"/>
    <w:rsid w:val="00F640AB"/>
    <w:rsid w:val="00F72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92F1B0"/>
  <w15:chartTrackingRefBased/>
  <w15:docId w15:val="{E41C71FF-39F4-4EB4-A24B-FBB3D5D7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character" w:customStyle="1" w:styleId="glied31">
    <w:name w:val="glied31"/>
    <w:rPr>
      <w:rFonts w:ascii="Arial" w:hAnsi="Arial" w:cs="Arial" w:hint="default"/>
      <w:b/>
      <w:bCs/>
      <w:sz w:val="22"/>
      <w:szCs w:val="22"/>
      <w:u w:val="single"/>
    </w:rPr>
  </w:style>
  <w:style w:type="character" w:styleId="Hyperlink">
    <w:name w:val="Hyperlink"/>
    <w:semiHidden/>
    <w:rPr>
      <w:color w:val="0000EE"/>
      <w:u w:val="single"/>
    </w:rPr>
  </w:style>
  <w:style w:type="character" w:customStyle="1" w:styleId="articletext">
    <w:name w:val="articletext"/>
    <w:basedOn w:val="Absatz-Standardschriftart"/>
  </w:style>
  <w:style w:type="paragraph" w:styleId="Sprechblasentext">
    <w:name w:val="Balloon Text"/>
    <w:basedOn w:val="Standard"/>
    <w:link w:val="SprechblasentextZchn"/>
    <w:uiPriority w:val="99"/>
    <w:semiHidden/>
    <w:unhideWhenUsed/>
    <w:rsid w:val="00B150F5"/>
    <w:rPr>
      <w:rFonts w:ascii="Segoe UI" w:hAnsi="Segoe UI" w:cs="Segoe UI"/>
      <w:sz w:val="18"/>
      <w:szCs w:val="18"/>
    </w:rPr>
  </w:style>
  <w:style w:type="character" w:customStyle="1" w:styleId="SprechblasentextZchn">
    <w:name w:val="Sprechblasentext Zchn"/>
    <w:link w:val="Sprechblasentext"/>
    <w:uiPriority w:val="99"/>
    <w:semiHidden/>
    <w:rsid w:val="00B150F5"/>
    <w:rPr>
      <w:rFonts w:ascii="Segoe UI" w:hAnsi="Segoe UI" w:cs="Segoe UI"/>
      <w:sz w:val="18"/>
      <w:szCs w:val="18"/>
    </w:rPr>
  </w:style>
  <w:style w:type="character" w:styleId="Kommentarzeichen">
    <w:name w:val="annotation reference"/>
    <w:uiPriority w:val="99"/>
    <w:semiHidden/>
    <w:unhideWhenUsed/>
    <w:rsid w:val="00CA11C4"/>
    <w:rPr>
      <w:sz w:val="16"/>
      <w:szCs w:val="16"/>
    </w:rPr>
  </w:style>
  <w:style w:type="paragraph" w:styleId="Kommentartext">
    <w:name w:val="annotation text"/>
    <w:basedOn w:val="Standard"/>
    <w:link w:val="KommentartextZchn"/>
    <w:uiPriority w:val="99"/>
    <w:semiHidden/>
    <w:unhideWhenUsed/>
    <w:rsid w:val="00CA11C4"/>
  </w:style>
  <w:style w:type="character" w:customStyle="1" w:styleId="KommentartextZchn">
    <w:name w:val="Kommentartext Zchn"/>
    <w:link w:val="Kommentartext"/>
    <w:uiPriority w:val="99"/>
    <w:semiHidden/>
    <w:rsid w:val="00CA11C4"/>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CA11C4"/>
    <w:rPr>
      <w:b/>
      <w:bCs/>
    </w:rPr>
  </w:style>
  <w:style w:type="character" w:customStyle="1" w:styleId="KommentarthemaZchn">
    <w:name w:val="Kommentarthema Zchn"/>
    <w:link w:val="Kommentarthema"/>
    <w:uiPriority w:val="99"/>
    <w:semiHidden/>
    <w:rsid w:val="00CA11C4"/>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www.bghm.de/fileadmin/_processed_/7/9/csm_M013_Gesichtsschutz_benutzen_43fda75ad9.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www.bghm.de/fileadmin/_processed_/1/6/csm_M009_Handschutz_benutzen_7503881a2e.jpg"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FD64-465A-49A6-BA0C-C87F21D1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8293</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9389</CharactersWithSpaces>
  <SharedDoc>false</SharedDoc>
  <HLinks>
    <vt:vector size="12" baseType="variant">
      <vt:variant>
        <vt:i4>1048606</vt:i4>
      </vt:variant>
      <vt:variant>
        <vt:i4>-1</vt:i4>
      </vt:variant>
      <vt:variant>
        <vt:i4>1037</vt:i4>
      </vt:variant>
      <vt:variant>
        <vt:i4>1</vt:i4>
      </vt:variant>
      <vt:variant>
        <vt:lpwstr>https://www.bghm.de/fileadmin/_processed_/1/6/csm_M009_Handschutz_benutzen_7503881a2e.jpg</vt:lpwstr>
      </vt:variant>
      <vt:variant>
        <vt:lpwstr/>
      </vt:variant>
      <vt:variant>
        <vt:i4>4259846</vt:i4>
      </vt:variant>
      <vt:variant>
        <vt:i4>-1</vt:i4>
      </vt:variant>
      <vt:variant>
        <vt:i4>1038</vt:i4>
      </vt:variant>
      <vt:variant>
        <vt:i4>1</vt:i4>
      </vt:variant>
      <vt:variant>
        <vt:lpwstr>https://www.bghm.de/fileadmin/_processed_/7/9/csm_M013_Gesichtsschutz_benutzen_43fda75ad9.jpg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Richter.Sylvia</cp:lastModifiedBy>
  <cp:revision>3</cp:revision>
  <cp:lastPrinted>2019-07-30T13:39:00Z</cp:lastPrinted>
  <dcterms:created xsi:type="dcterms:W3CDTF">2023-03-29T07:26:00Z</dcterms:created>
  <dcterms:modified xsi:type="dcterms:W3CDTF">2024-01-17T14:58:00Z</dcterms:modified>
</cp:coreProperties>
</file>