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8" w:type="dxa"/>
        <w:tblInd w:w="-925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42"/>
        <w:gridCol w:w="849"/>
        <w:gridCol w:w="3049"/>
        <w:gridCol w:w="2112"/>
        <w:gridCol w:w="3347"/>
      </w:tblGrid>
      <w:tr w:rsidR="003C5B77" w:rsidTr="000232DE">
        <w:trPr>
          <w:cantSplit/>
          <w:trHeight w:val="1298"/>
        </w:trPr>
        <w:tc>
          <w:tcPr>
            <w:tcW w:w="5459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:rsidR="003C5B77" w:rsidRDefault="003C5B77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</w:t>
            </w:r>
            <w:r>
              <w:rPr>
                <w:rFonts w:ascii="Arial" w:hAnsi="Arial"/>
              </w:rPr>
              <w:br/>
              <w:t>mit Gefahrstoffen</w:t>
            </w:r>
          </w:p>
          <w:p w:rsidR="003C5B77" w:rsidRDefault="003C5B77">
            <w:pPr>
              <w:spacing w:before="120" w:line="240" w:lineRule="atLeast"/>
              <w:rPr>
                <w:rFonts w:ascii="Arial" w:hAnsi="Arial" w:cs="Arial"/>
                <w:color w:val="000000"/>
                <w:sz w:val="34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3C5B77" w:rsidRDefault="003C5B77">
            <w:pPr>
              <w:spacing w:line="160" w:lineRule="atLeast"/>
              <w:rPr>
                <w:rFonts w:ascii="Arial" w:hAnsi="Arial" w:cs="Arial"/>
                <w:spacing w:val="10"/>
                <w:sz w:val="12"/>
              </w:rPr>
            </w:pPr>
          </w:p>
        </w:tc>
        <w:tc>
          <w:tcPr>
            <w:tcW w:w="5459" w:type="dxa"/>
            <w:gridSpan w:val="2"/>
            <w:tcBorders>
              <w:top w:val="single" w:sz="48" w:space="0" w:color="FFCC00"/>
              <w:bottom w:val="single" w:sz="4" w:space="0" w:color="auto"/>
              <w:right w:val="single" w:sz="48" w:space="0" w:color="FFCC00"/>
            </w:tcBorders>
            <w:shd w:val="clear" w:color="FF0000" w:fill="auto"/>
          </w:tcPr>
          <w:p w:rsidR="003C5B77" w:rsidRDefault="007F6C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50800</wp:posOffset>
                  </wp:positionV>
                  <wp:extent cx="1226185" cy="666750"/>
                  <wp:effectExtent l="0" t="0" r="0" b="0"/>
                  <wp:wrapNone/>
                  <wp:docPr id="18" name="Bild 1" descr="K:\logos\Goethe-logo-neu\0-basisversion\logo-sw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:\logos\Goethe-logo-neu\0-basisversion\logo-sw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2DE" w:rsidTr="000232DE">
        <w:trPr>
          <w:cantSplit/>
          <w:trHeight w:val="772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0232DE" w:rsidRDefault="000232DE" w:rsidP="000232DE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0232DE" w:rsidRDefault="000232DE" w:rsidP="000232DE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Bereichsverantwortliche*r</w:t>
            </w:r>
            <w:r>
              <w:t xml:space="preserve">:                                                                                                                 </w:t>
            </w:r>
            <w:r w:rsidRPr="00800DFE">
              <w:rPr>
                <w:rFonts w:ascii="Arial" w:hAnsi="Arial" w:cs="Arial"/>
              </w:rPr>
              <w:t xml:space="preserve">Datum: </w:t>
            </w:r>
          </w:p>
        </w:tc>
      </w:tr>
      <w:tr w:rsidR="003C5B77" w:rsidTr="00E57AC7">
        <w:tc>
          <w:tcPr>
            <w:tcW w:w="2410" w:type="dxa"/>
            <w:gridSpan w:val="3"/>
            <w:tcBorders>
              <w:top w:val="nil"/>
              <w:left w:val="single" w:sz="48" w:space="0" w:color="FFCC00"/>
              <w:bottom w:val="nil"/>
            </w:tcBorders>
            <w:shd w:val="clear" w:color="FF0000" w:fill="FFCC00"/>
          </w:tcPr>
          <w:p w:rsidR="003C5B77" w:rsidRDefault="003C5B77">
            <w:pPr>
              <w:spacing w:line="40" w:lineRule="atLeast"/>
              <w:rPr>
                <w:rFonts w:ascii="Arial" w:hAnsi="Arial" w:cs="Arial"/>
                <w:noProof/>
                <w:sz w:val="8"/>
              </w:rPr>
            </w:pPr>
          </w:p>
        </w:tc>
        <w:tc>
          <w:tcPr>
            <w:tcW w:w="8508" w:type="dxa"/>
            <w:gridSpan w:val="3"/>
            <w:tcBorders>
              <w:top w:val="nil"/>
              <w:bottom w:val="nil"/>
              <w:right w:val="single" w:sz="48" w:space="0" w:color="FFCC00"/>
            </w:tcBorders>
            <w:shd w:val="clear" w:color="FF0000" w:fill="FFCC00"/>
          </w:tcPr>
          <w:p w:rsidR="003C5B77" w:rsidRDefault="003C5B77">
            <w:pPr>
              <w:spacing w:line="40" w:lineRule="atLeast"/>
              <w:jc w:val="right"/>
              <w:rPr>
                <w:rFonts w:ascii="Arial" w:hAnsi="Arial" w:cs="Arial"/>
                <w:spacing w:val="10"/>
                <w:sz w:val="8"/>
              </w:rPr>
            </w:pPr>
          </w:p>
        </w:tc>
      </w:tr>
      <w:tr w:rsidR="003C5B77" w:rsidTr="00E57AC7">
        <w:tc>
          <w:tcPr>
            <w:tcW w:w="10918" w:type="dxa"/>
            <w:gridSpan w:val="6"/>
            <w:tcBorders>
              <w:top w:val="nil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3C5B77" w:rsidRDefault="000232DE" w:rsidP="000232DE">
            <w:pPr>
              <w:pStyle w:val="berschrift5"/>
            </w:pPr>
            <w:r>
              <w:t>Gefahrenbezeichnung</w:t>
            </w:r>
          </w:p>
        </w:tc>
      </w:tr>
      <w:tr w:rsidR="003C5B77" w:rsidRPr="000232DE" w:rsidTr="00E57AC7">
        <w:tc>
          <w:tcPr>
            <w:tcW w:w="10918" w:type="dxa"/>
            <w:gridSpan w:val="6"/>
            <w:tcBorders>
              <w:top w:val="nil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3C5B77" w:rsidRPr="000232DE" w:rsidRDefault="000232DE" w:rsidP="000232DE">
            <w:pPr>
              <w:pStyle w:val="Kopfzeile"/>
              <w:tabs>
                <w:tab w:val="clear" w:pos="4536"/>
                <w:tab w:val="clear" w:pos="9072"/>
                <w:tab w:val="right" w:leader="underscore" w:pos="10136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32DE">
              <w:rPr>
                <w:rFonts w:ascii="Arial" w:hAnsi="Arial" w:cs="Arial"/>
                <w:b/>
                <w:sz w:val="32"/>
                <w:szCs w:val="32"/>
              </w:rPr>
              <w:t>Umgang mit tiefkalten flüssigen Gasen</w:t>
            </w:r>
          </w:p>
        </w:tc>
      </w:tr>
      <w:tr w:rsidR="003C5B77">
        <w:tc>
          <w:tcPr>
            <w:tcW w:w="10918" w:type="dxa"/>
            <w:gridSpan w:val="6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3C5B77" w:rsidRDefault="003C5B77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für Mensch und Umwelt</w:t>
            </w:r>
          </w:p>
        </w:tc>
      </w:tr>
      <w:tr w:rsidR="003C5B77">
        <w:trPr>
          <w:cantSplit/>
        </w:trPr>
        <w:tc>
          <w:tcPr>
            <w:tcW w:w="1561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3C5B77" w:rsidRDefault="003C5B77">
            <w:pPr>
              <w:rPr>
                <w:rFonts w:ascii="Arial" w:hAnsi="Arial" w:cs="Arial"/>
              </w:rPr>
            </w:pPr>
          </w:p>
          <w:p w:rsidR="003C5B77" w:rsidRDefault="007F6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9160" cy="79248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B77" w:rsidRDefault="003C5B77">
            <w:pPr>
              <w:jc w:val="center"/>
              <w:rPr>
                <w:rFonts w:ascii="Arial" w:hAnsi="Arial"/>
              </w:rPr>
            </w:pPr>
          </w:p>
          <w:p w:rsidR="003C5B77" w:rsidRDefault="003C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7" w:type="dxa"/>
            <w:gridSpan w:val="4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203DC9" w:rsidRPr="00E27C8B" w:rsidRDefault="00203DC9" w:rsidP="00A62809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E27C8B">
              <w:rPr>
                <w:rFonts w:ascii="Arial" w:hAnsi="Arial" w:cs="Arial"/>
                <w:b/>
              </w:rPr>
              <w:t>Einatmen oder Hautkontakt</w:t>
            </w:r>
            <w:r w:rsidRPr="00E27C8B">
              <w:rPr>
                <w:rFonts w:ascii="Arial" w:hAnsi="Arial" w:cs="Arial"/>
              </w:rPr>
              <w:t xml:space="preserve"> kann zu Gesundheitsschäden führen. </w:t>
            </w:r>
          </w:p>
          <w:p w:rsidR="00203DC9" w:rsidRPr="00E27C8B" w:rsidRDefault="00203DC9" w:rsidP="00A62809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E27C8B">
              <w:rPr>
                <w:rFonts w:ascii="Arial" w:hAnsi="Arial" w:cs="Arial"/>
              </w:rPr>
              <w:t xml:space="preserve">Direkter Kontakt kann starke </w:t>
            </w:r>
            <w:r w:rsidRPr="00E27C8B">
              <w:rPr>
                <w:rFonts w:ascii="Arial" w:hAnsi="Arial" w:cs="Arial"/>
                <w:b/>
              </w:rPr>
              <w:t>Erfrierungen</w:t>
            </w:r>
            <w:r w:rsidR="00364D84" w:rsidRPr="00E27C8B">
              <w:rPr>
                <w:rFonts w:ascii="Arial" w:hAnsi="Arial" w:cs="Arial"/>
                <w:b/>
              </w:rPr>
              <w:t xml:space="preserve"> / Kälteverbrennungen</w:t>
            </w:r>
            <w:r w:rsidRPr="00E27C8B">
              <w:rPr>
                <w:rFonts w:ascii="Arial" w:hAnsi="Arial" w:cs="Arial"/>
              </w:rPr>
              <w:t xml:space="preserve"> verursachen. </w:t>
            </w:r>
          </w:p>
          <w:p w:rsidR="00364D84" w:rsidRPr="00E27C8B" w:rsidRDefault="00E27C8B" w:rsidP="00364D84">
            <w:pPr>
              <w:numPr>
                <w:ilvl w:val="0"/>
                <w:numId w:val="25"/>
              </w:numPr>
              <w:ind w:left="357"/>
              <w:rPr>
                <w:rFonts w:ascii="Arial" w:hAnsi="Arial" w:cs="Arial"/>
              </w:rPr>
            </w:pPr>
            <w:r w:rsidRPr="00E27C8B">
              <w:rPr>
                <w:rFonts w:ascii="Arial" w:hAnsi="Arial" w:cs="Arial"/>
              </w:rPr>
              <w:t xml:space="preserve">Es besteht </w:t>
            </w:r>
            <w:r w:rsidRPr="00E27C8B">
              <w:rPr>
                <w:rFonts w:ascii="Arial" w:hAnsi="Arial" w:cs="Arial"/>
                <w:b/>
              </w:rPr>
              <w:t>Erstickungsgefahr,</w:t>
            </w:r>
            <w:r w:rsidRPr="00E27C8B">
              <w:rPr>
                <w:rFonts w:ascii="Arial" w:hAnsi="Arial" w:cs="Arial"/>
              </w:rPr>
              <w:t xml:space="preserve"> wenn</w:t>
            </w:r>
            <w:r w:rsidR="00364D84" w:rsidRPr="00E27C8B">
              <w:rPr>
                <w:rFonts w:ascii="Arial" w:hAnsi="Arial" w:cs="Arial"/>
              </w:rPr>
              <w:t xml:space="preserve"> </w:t>
            </w:r>
            <w:r w:rsidRPr="00E27C8B">
              <w:rPr>
                <w:rFonts w:ascii="Arial" w:hAnsi="Arial" w:cs="Arial"/>
              </w:rPr>
              <w:t>größere Mengen in geschlossenen Räumen v</w:t>
            </w:r>
            <w:r w:rsidR="00364D84" w:rsidRPr="00E27C8B">
              <w:rPr>
                <w:rFonts w:ascii="Arial" w:hAnsi="Arial" w:cs="Arial"/>
              </w:rPr>
              <w:t>erdampfen</w:t>
            </w:r>
            <w:r w:rsidRPr="00E27C8B">
              <w:rPr>
                <w:rFonts w:ascii="Arial" w:hAnsi="Arial" w:cs="Arial"/>
              </w:rPr>
              <w:t>.</w:t>
            </w:r>
          </w:p>
          <w:p w:rsidR="00203DC9" w:rsidRPr="00E27C8B" w:rsidRDefault="00203DC9" w:rsidP="00A62809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E27C8B">
              <w:rPr>
                <w:rFonts w:ascii="Arial" w:hAnsi="Arial" w:cs="Arial"/>
              </w:rPr>
              <w:t>Beim</w:t>
            </w:r>
            <w:r w:rsidR="006063FB" w:rsidRPr="00E27C8B">
              <w:rPr>
                <w:rFonts w:ascii="Arial" w:hAnsi="Arial" w:cs="Arial"/>
              </w:rPr>
              <w:t xml:space="preserve"> Verdampfen</w:t>
            </w:r>
            <w:r w:rsidRPr="00E27C8B">
              <w:rPr>
                <w:rFonts w:ascii="Arial" w:hAnsi="Arial" w:cs="Arial"/>
              </w:rPr>
              <w:t xml:space="preserve"> entstehen große Mengen Gas: </w:t>
            </w:r>
            <w:proofErr w:type="spellStart"/>
            <w:r w:rsidRPr="00E27C8B">
              <w:rPr>
                <w:rFonts w:ascii="Arial" w:hAnsi="Arial" w:cs="Arial"/>
                <w:b/>
              </w:rPr>
              <w:t>Berstgefahr</w:t>
            </w:r>
            <w:proofErr w:type="spellEnd"/>
            <w:r w:rsidRPr="00E27C8B">
              <w:rPr>
                <w:rFonts w:ascii="Arial" w:hAnsi="Arial" w:cs="Arial"/>
              </w:rPr>
              <w:t xml:space="preserve"> durch Druckaufbau in geschlossenen Behältern! </w:t>
            </w:r>
          </w:p>
          <w:p w:rsidR="00203DC9" w:rsidRPr="00E27C8B" w:rsidRDefault="00203DC9" w:rsidP="00A62809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E27C8B">
              <w:rPr>
                <w:rFonts w:ascii="Arial" w:hAnsi="Arial" w:cs="Arial"/>
              </w:rPr>
              <w:t>Vorsicht! Bei unzureichend geschlossenen</w:t>
            </w:r>
            <w:r w:rsidR="00364D84" w:rsidRPr="00E27C8B">
              <w:rPr>
                <w:rFonts w:ascii="Arial" w:hAnsi="Arial" w:cs="Arial"/>
              </w:rPr>
              <w:t xml:space="preserve"> oder nicht geeigneten</w:t>
            </w:r>
            <w:r w:rsidRPr="00E27C8B">
              <w:rPr>
                <w:rFonts w:ascii="Arial" w:hAnsi="Arial" w:cs="Arial"/>
              </w:rPr>
              <w:t xml:space="preserve"> </w:t>
            </w:r>
            <w:proofErr w:type="spellStart"/>
            <w:r w:rsidRPr="00E27C8B">
              <w:rPr>
                <w:rFonts w:ascii="Arial" w:hAnsi="Arial" w:cs="Arial"/>
              </w:rPr>
              <w:t>Kryoröhrchen</w:t>
            </w:r>
            <w:proofErr w:type="spellEnd"/>
            <w:r w:rsidRPr="00E27C8B">
              <w:rPr>
                <w:rFonts w:ascii="Arial" w:hAnsi="Arial" w:cs="Arial"/>
              </w:rPr>
              <w:t xml:space="preserve"> besteht </w:t>
            </w:r>
            <w:proofErr w:type="spellStart"/>
            <w:r w:rsidR="006063FB" w:rsidRPr="00E27C8B">
              <w:rPr>
                <w:rFonts w:ascii="Arial" w:hAnsi="Arial" w:cs="Arial"/>
              </w:rPr>
              <w:t>Berstgefahr</w:t>
            </w:r>
            <w:proofErr w:type="spellEnd"/>
            <w:r w:rsidR="006063FB" w:rsidRPr="00E27C8B">
              <w:rPr>
                <w:rFonts w:ascii="Arial" w:hAnsi="Arial" w:cs="Arial"/>
              </w:rPr>
              <w:t xml:space="preserve"> nach Entnahme aus dem </w:t>
            </w:r>
            <w:proofErr w:type="spellStart"/>
            <w:r w:rsidR="006063FB" w:rsidRPr="00E27C8B">
              <w:rPr>
                <w:rFonts w:ascii="Arial" w:hAnsi="Arial" w:cs="Arial"/>
              </w:rPr>
              <w:t>Kühlbad</w:t>
            </w:r>
            <w:proofErr w:type="spellEnd"/>
            <w:r w:rsidR="004E3E9E" w:rsidRPr="00E27C8B">
              <w:rPr>
                <w:rFonts w:ascii="Arial" w:hAnsi="Arial" w:cs="Arial"/>
              </w:rPr>
              <w:t>.</w:t>
            </w:r>
            <w:r w:rsidR="006063FB" w:rsidRPr="00E27C8B">
              <w:rPr>
                <w:rFonts w:ascii="Arial" w:hAnsi="Arial" w:cs="Arial"/>
              </w:rPr>
              <w:t xml:space="preserve"> </w:t>
            </w:r>
            <w:r w:rsidR="006063FB" w:rsidRPr="00E27C8B">
              <w:rPr>
                <w:rFonts w:ascii="Arial" w:hAnsi="Arial" w:cs="Arial"/>
                <w:b/>
              </w:rPr>
              <w:t xml:space="preserve">Verletzungsgefahr </w:t>
            </w:r>
            <w:r w:rsidR="006063FB" w:rsidRPr="00E27C8B">
              <w:rPr>
                <w:rFonts w:ascii="Arial" w:hAnsi="Arial" w:cs="Arial"/>
              </w:rPr>
              <w:t xml:space="preserve">durch </w:t>
            </w:r>
            <w:r w:rsidR="004E3E9E" w:rsidRPr="00E27C8B">
              <w:rPr>
                <w:rFonts w:ascii="Arial" w:hAnsi="Arial" w:cs="Arial"/>
              </w:rPr>
              <w:t xml:space="preserve">umherfliegende </w:t>
            </w:r>
            <w:proofErr w:type="spellStart"/>
            <w:r w:rsidR="004E3E9E" w:rsidRPr="00E27C8B">
              <w:rPr>
                <w:rFonts w:ascii="Arial" w:hAnsi="Arial" w:cs="Arial"/>
              </w:rPr>
              <w:t>Röhrchenteile</w:t>
            </w:r>
            <w:proofErr w:type="spellEnd"/>
            <w:r w:rsidR="004E3E9E" w:rsidRPr="00E27C8B">
              <w:rPr>
                <w:rFonts w:ascii="Arial" w:hAnsi="Arial" w:cs="Arial"/>
              </w:rPr>
              <w:t>!</w:t>
            </w:r>
          </w:p>
          <w:p w:rsidR="003C5B77" w:rsidRPr="005C37EA" w:rsidRDefault="006063FB" w:rsidP="005C37EA">
            <w:pPr>
              <w:numPr>
                <w:ilvl w:val="0"/>
                <w:numId w:val="24"/>
              </w:numPr>
              <w:ind w:left="357"/>
              <w:rPr>
                <w:rFonts w:ascii="Arial" w:hAnsi="Arial" w:cs="Arial"/>
                <w:b/>
              </w:rPr>
            </w:pPr>
            <w:r w:rsidRPr="00E27C8B">
              <w:rPr>
                <w:rFonts w:ascii="Arial" w:hAnsi="Arial" w:cs="Arial"/>
              </w:rPr>
              <w:t xml:space="preserve">Bei allen tiefkalten Gasen, deren Siedetemperatur unterhalb der von Sauerstoff (-183 °C) liegt, besteht die Gefahr, dass Sauerstoff aus der Luft </w:t>
            </w:r>
            <w:proofErr w:type="spellStart"/>
            <w:r w:rsidR="001D6EAB" w:rsidRPr="00E27C8B">
              <w:rPr>
                <w:rFonts w:ascii="Arial" w:hAnsi="Arial" w:cs="Arial"/>
              </w:rPr>
              <w:t>einkondensiert</w:t>
            </w:r>
            <w:proofErr w:type="spellEnd"/>
            <w:r w:rsidRPr="00E27C8B">
              <w:rPr>
                <w:rFonts w:ascii="Arial" w:hAnsi="Arial" w:cs="Arial"/>
              </w:rPr>
              <w:t xml:space="preserve"> wird. </w:t>
            </w:r>
            <w:r w:rsidR="004E3E9E" w:rsidRPr="00E27C8B">
              <w:rPr>
                <w:rFonts w:ascii="Arial" w:hAnsi="Arial" w:cs="Arial"/>
                <w:b/>
              </w:rPr>
              <w:t>Brandgefahr!</w:t>
            </w:r>
          </w:p>
        </w:tc>
      </w:tr>
      <w:tr w:rsidR="003C5B77" w:rsidTr="00AC7E5B">
        <w:tc>
          <w:tcPr>
            <w:tcW w:w="10918" w:type="dxa"/>
            <w:gridSpan w:val="6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3C5B77" w:rsidRDefault="003C5B77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Schutzmaßnahmen und Verhaltensregeln</w:t>
            </w:r>
          </w:p>
        </w:tc>
      </w:tr>
      <w:tr w:rsidR="003C5B77" w:rsidTr="00AC7E5B">
        <w:trPr>
          <w:cantSplit/>
        </w:trPr>
        <w:tc>
          <w:tcPr>
            <w:tcW w:w="1561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3C5B77" w:rsidRDefault="007F6CD3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899160" cy="89154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B77" w:rsidRDefault="007F6CD3">
            <w:pPr>
              <w:pStyle w:val="berschrift4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b w:val="0"/>
                <w:noProof/>
                <w:sz w:val="24"/>
              </w:rPr>
              <w:drawing>
                <wp:inline distT="0" distB="0" distL="0" distR="0">
                  <wp:extent cx="899160" cy="89154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gridSpan w:val="4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906BBA" w:rsidRPr="00E27C8B" w:rsidRDefault="00906BBA" w:rsidP="00906BB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27C8B">
              <w:rPr>
                <w:rFonts w:ascii="Arial" w:hAnsi="Arial" w:cs="Arial"/>
              </w:rPr>
              <w:t>Tiefkalte Gase dürfen nur von unterwiesene Personen gehandhabt werden.</w:t>
            </w:r>
          </w:p>
          <w:p w:rsidR="003F580E" w:rsidRPr="003F580E" w:rsidRDefault="00110EFD" w:rsidP="00E57AC7">
            <w:pPr>
              <w:numPr>
                <w:ilvl w:val="0"/>
                <w:numId w:val="22"/>
              </w:numPr>
              <w:rPr>
                <w:rFonts w:ascii="Arial" w:hAnsi="Arial" w:cs="Arial"/>
                <w:strike/>
              </w:rPr>
            </w:pPr>
            <w:r w:rsidRPr="00E27C8B">
              <w:rPr>
                <w:rFonts w:ascii="Arial" w:hAnsi="Arial" w:cs="Arial"/>
              </w:rPr>
              <w:t>Nur in gut belüfte</w:t>
            </w:r>
            <w:r w:rsidR="004B2784" w:rsidRPr="00E27C8B">
              <w:rPr>
                <w:rFonts w:ascii="Arial" w:hAnsi="Arial" w:cs="Arial"/>
              </w:rPr>
              <w:t>ten Bereichen</w:t>
            </w:r>
            <w:r w:rsidR="003F580E">
              <w:rPr>
                <w:rFonts w:ascii="Arial" w:hAnsi="Arial" w:cs="Arial"/>
              </w:rPr>
              <w:t xml:space="preserve"> oder im Freien</w:t>
            </w:r>
            <w:r w:rsidR="004B2784" w:rsidRPr="00E27C8B">
              <w:rPr>
                <w:rFonts w:ascii="Arial" w:hAnsi="Arial" w:cs="Arial"/>
              </w:rPr>
              <w:t xml:space="preserve"> verwenden und lagern.</w:t>
            </w:r>
            <w:r w:rsidR="00E57AC7" w:rsidRPr="00E27C8B">
              <w:rPr>
                <w:rFonts w:ascii="Arial" w:hAnsi="Arial" w:cs="Arial"/>
              </w:rPr>
              <w:t xml:space="preserve"> </w:t>
            </w:r>
          </w:p>
          <w:p w:rsidR="004B2784" w:rsidRPr="00E27C8B" w:rsidRDefault="00E57AC7" w:rsidP="00E57AC7">
            <w:pPr>
              <w:numPr>
                <w:ilvl w:val="0"/>
                <w:numId w:val="22"/>
              </w:numPr>
              <w:rPr>
                <w:rFonts w:ascii="Arial" w:hAnsi="Arial" w:cs="Arial"/>
                <w:strike/>
              </w:rPr>
            </w:pPr>
            <w:r w:rsidRPr="00E27C8B">
              <w:rPr>
                <w:rFonts w:ascii="Arial" w:hAnsi="Arial" w:cs="Arial"/>
              </w:rPr>
              <w:t>Einatmen von Dämpfen vermeiden!</w:t>
            </w:r>
            <w:r w:rsidRPr="00E27C8B">
              <w:rPr>
                <w:rFonts w:ascii="Arial" w:hAnsi="Arial" w:cs="Arial"/>
                <w:strike/>
              </w:rPr>
              <w:t xml:space="preserve"> </w:t>
            </w:r>
          </w:p>
          <w:p w:rsidR="00402BC5" w:rsidRPr="00E853DE" w:rsidRDefault="005A7E5E" w:rsidP="00110EFD">
            <w:pPr>
              <w:numPr>
                <w:ilvl w:val="0"/>
                <w:numId w:val="22"/>
              </w:numPr>
              <w:rPr>
                <w:rFonts w:ascii="Arial" w:hAnsi="Arial" w:cs="Arial"/>
                <w:strike/>
              </w:rPr>
            </w:pPr>
            <w:r w:rsidRPr="00E27C8B">
              <w:rPr>
                <w:rFonts w:ascii="Arial" w:hAnsi="Arial" w:cs="Arial"/>
              </w:rPr>
              <w:t>Das</w:t>
            </w:r>
            <w:r w:rsidRPr="00E853DE">
              <w:rPr>
                <w:rFonts w:ascii="Arial" w:hAnsi="Arial" w:cs="Arial"/>
              </w:rPr>
              <w:t xml:space="preserve"> Aufstellen von </w:t>
            </w:r>
            <w:proofErr w:type="spellStart"/>
            <w:r w:rsidRPr="00E853DE">
              <w:rPr>
                <w:rFonts w:ascii="Arial" w:hAnsi="Arial" w:cs="Arial"/>
              </w:rPr>
              <w:t>K</w:t>
            </w:r>
            <w:r w:rsidR="001D6EAB">
              <w:rPr>
                <w:rFonts w:ascii="Arial" w:hAnsi="Arial" w:cs="Arial"/>
              </w:rPr>
              <w:t>r</w:t>
            </w:r>
            <w:r w:rsidRPr="00E853DE">
              <w:rPr>
                <w:rFonts w:ascii="Arial" w:hAnsi="Arial" w:cs="Arial"/>
              </w:rPr>
              <w:t>yobehältern</w:t>
            </w:r>
            <w:proofErr w:type="spellEnd"/>
            <w:r w:rsidRPr="00E853DE">
              <w:rPr>
                <w:rFonts w:ascii="Arial" w:hAnsi="Arial" w:cs="Arial"/>
              </w:rPr>
              <w:t xml:space="preserve"> in Fluchtwegen</w:t>
            </w:r>
            <w:r w:rsidR="00906BBA">
              <w:rPr>
                <w:rFonts w:ascii="Arial" w:hAnsi="Arial" w:cs="Arial"/>
              </w:rPr>
              <w:t xml:space="preserve"> </w:t>
            </w:r>
            <w:r w:rsidRPr="00E853DE">
              <w:rPr>
                <w:rFonts w:ascii="Arial" w:hAnsi="Arial" w:cs="Arial"/>
              </w:rPr>
              <w:t xml:space="preserve">ist </w:t>
            </w:r>
            <w:r w:rsidR="00906BBA">
              <w:rPr>
                <w:rFonts w:ascii="Arial" w:hAnsi="Arial" w:cs="Arial"/>
              </w:rPr>
              <w:t>verboten</w:t>
            </w:r>
            <w:r w:rsidRPr="00E853DE">
              <w:rPr>
                <w:rFonts w:ascii="Arial" w:hAnsi="Arial" w:cs="Arial"/>
              </w:rPr>
              <w:t>.</w:t>
            </w:r>
            <w:r w:rsidR="002E3BDB" w:rsidRPr="00E853DE">
              <w:rPr>
                <w:rFonts w:ascii="Arial" w:hAnsi="Arial" w:cs="Arial"/>
              </w:rPr>
              <w:t xml:space="preserve"> </w:t>
            </w:r>
          </w:p>
          <w:p w:rsidR="00A62809" w:rsidRPr="00E853DE" w:rsidRDefault="00A62809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</w:rPr>
              <w:t xml:space="preserve">Berührung mit </w:t>
            </w:r>
            <w:r w:rsidR="00906BBA">
              <w:rPr>
                <w:rFonts w:ascii="Arial" w:hAnsi="Arial" w:cs="Arial"/>
              </w:rPr>
              <w:t xml:space="preserve">den </w:t>
            </w:r>
            <w:r w:rsidRPr="00E853DE">
              <w:rPr>
                <w:rFonts w:ascii="Arial" w:hAnsi="Arial" w:cs="Arial"/>
              </w:rPr>
              <w:t xml:space="preserve">Augen, </w:t>
            </w:r>
            <w:r w:rsidR="00906BBA">
              <w:rPr>
                <w:rFonts w:ascii="Arial" w:hAnsi="Arial" w:cs="Arial"/>
              </w:rPr>
              <w:t xml:space="preserve">der </w:t>
            </w:r>
            <w:r w:rsidRPr="00E853DE">
              <w:rPr>
                <w:rFonts w:ascii="Arial" w:hAnsi="Arial" w:cs="Arial"/>
              </w:rPr>
              <w:t xml:space="preserve">Haut und </w:t>
            </w:r>
            <w:r w:rsidR="00906BBA">
              <w:rPr>
                <w:rFonts w:ascii="Arial" w:hAnsi="Arial" w:cs="Arial"/>
              </w:rPr>
              <w:t xml:space="preserve">der </w:t>
            </w:r>
            <w:r w:rsidRPr="00E853DE">
              <w:rPr>
                <w:rFonts w:ascii="Arial" w:hAnsi="Arial" w:cs="Arial"/>
              </w:rPr>
              <w:t xml:space="preserve">Kleidung vermeiden! </w:t>
            </w:r>
          </w:p>
          <w:p w:rsidR="005A7E5E" w:rsidRPr="00E853DE" w:rsidRDefault="005A7E5E" w:rsidP="005A7E5E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</w:rPr>
              <w:t>Abfüllen muss automatisch erfolgen oder permanent überwacht</w:t>
            </w:r>
            <w:r w:rsidR="00327ACF" w:rsidRPr="00E853DE">
              <w:rPr>
                <w:rFonts w:ascii="Arial" w:hAnsi="Arial" w:cs="Arial"/>
              </w:rPr>
              <w:t xml:space="preserve"> und rechtzeitig beendet werden.</w:t>
            </w:r>
          </w:p>
          <w:p w:rsidR="00A62809" w:rsidRPr="00E853DE" w:rsidRDefault="00A62809" w:rsidP="00110EFD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E853DE">
              <w:rPr>
                <w:rFonts w:ascii="Arial" w:hAnsi="Arial" w:cs="Arial"/>
                <w:b/>
              </w:rPr>
              <w:t xml:space="preserve">Augenschutz </w:t>
            </w:r>
            <w:r w:rsidR="00906BBA" w:rsidRPr="00E27C8B">
              <w:rPr>
                <w:rFonts w:ascii="Arial" w:hAnsi="Arial" w:cs="Arial"/>
                <w:b/>
              </w:rPr>
              <w:t>benutzen</w:t>
            </w:r>
            <w:r w:rsidR="00906BBA" w:rsidRPr="00E853DE">
              <w:rPr>
                <w:rFonts w:ascii="Arial" w:hAnsi="Arial" w:cs="Arial"/>
              </w:rPr>
              <w:t xml:space="preserve"> </w:t>
            </w:r>
            <w:r w:rsidR="00E22654" w:rsidRPr="00E853DE">
              <w:rPr>
                <w:rFonts w:ascii="Arial" w:hAnsi="Arial" w:cs="Arial"/>
              </w:rPr>
              <w:t xml:space="preserve">(Visier, </w:t>
            </w:r>
            <w:r w:rsidRPr="00E853DE">
              <w:rPr>
                <w:rFonts w:ascii="Arial" w:hAnsi="Arial" w:cs="Arial"/>
              </w:rPr>
              <w:t xml:space="preserve">Korbbrille oder </w:t>
            </w:r>
            <w:proofErr w:type="spellStart"/>
            <w:r w:rsidRPr="00E853DE">
              <w:rPr>
                <w:rFonts w:ascii="Arial" w:hAnsi="Arial" w:cs="Arial"/>
              </w:rPr>
              <w:t>Gestellbrille</w:t>
            </w:r>
            <w:proofErr w:type="spellEnd"/>
            <w:r w:rsidRPr="00E853DE">
              <w:rPr>
                <w:rFonts w:ascii="Arial" w:hAnsi="Arial" w:cs="Arial"/>
              </w:rPr>
              <w:t xml:space="preserve"> mit Seitenschutz</w:t>
            </w:r>
            <w:r w:rsidR="00E22654" w:rsidRPr="00E853DE">
              <w:rPr>
                <w:rFonts w:ascii="Arial" w:hAnsi="Arial" w:cs="Arial"/>
              </w:rPr>
              <w:t>)</w:t>
            </w:r>
            <w:r w:rsidR="00906BBA">
              <w:rPr>
                <w:rFonts w:ascii="Arial" w:hAnsi="Arial" w:cs="Arial"/>
              </w:rPr>
              <w:t>.</w:t>
            </w:r>
            <w:r w:rsidRPr="00E853DE">
              <w:rPr>
                <w:rFonts w:ascii="Arial" w:hAnsi="Arial" w:cs="Arial"/>
                <w:b/>
              </w:rPr>
              <w:t xml:space="preserve"> </w:t>
            </w:r>
          </w:p>
          <w:p w:rsidR="00453D71" w:rsidRDefault="00906BBA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  <w:b/>
              </w:rPr>
              <w:t>Schutzhandschuhe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7C8B">
              <w:rPr>
                <w:rFonts w:ascii="Arial" w:hAnsi="Arial" w:cs="Arial"/>
                <w:b/>
              </w:rPr>
              <w:t>benutzen</w:t>
            </w:r>
            <w:r w:rsidRPr="00E853DE">
              <w:rPr>
                <w:rFonts w:ascii="Arial" w:hAnsi="Arial" w:cs="Arial"/>
                <w:b/>
              </w:rPr>
              <w:t xml:space="preserve"> </w:t>
            </w:r>
            <w:r w:rsidRPr="00906BB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kältebeständig, flüssigkeitsdicht, gut isolierend –</w:t>
            </w:r>
            <w:proofErr w:type="spellStart"/>
            <w:r w:rsidR="00A62809" w:rsidRPr="00E853DE">
              <w:rPr>
                <w:rFonts w:ascii="Arial" w:hAnsi="Arial" w:cs="Arial"/>
              </w:rPr>
              <w:t>Kryohandschuhe</w:t>
            </w:r>
            <w:proofErr w:type="spellEnd"/>
            <w:r>
              <w:rPr>
                <w:rFonts w:ascii="Arial" w:hAnsi="Arial" w:cs="Arial"/>
              </w:rPr>
              <w:t>-)</w:t>
            </w:r>
            <w:r w:rsidR="00453D71">
              <w:rPr>
                <w:rFonts w:ascii="Arial" w:hAnsi="Arial" w:cs="Arial"/>
              </w:rPr>
              <w:t>.</w:t>
            </w:r>
          </w:p>
          <w:p w:rsidR="00A62809" w:rsidRDefault="00A62809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27C8B">
              <w:rPr>
                <w:rFonts w:ascii="Arial" w:hAnsi="Arial" w:cs="Arial"/>
                <w:b/>
              </w:rPr>
              <w:t>Geschlossen</w:t>
            </w:r>
            <w:r w:rsidR="00110EFD" w:rsidRPr="00E27C8B">
              <w:rPr>
                <w:rFonts w:ascii="Arial" w:hAnsi="Arial" w:cs="Arial"/>
                <w:b/>
              </w:rPr>
              <w:t>e</w:t>
            </w:r>
            <w:r w:rsidRPr="00E27C8B">
              <w:rPr>
                <w:rFonts w:ascii="Arial" w:hAnsi="Arial" w:cs="Arial"/>
                <w:b/>
              </w:rPr>
              <w:t xml:space="preserve"> feste Schuhe tragen</w:t>
            </w:r>
            <w:r w:rsidRPr="00E853DE">
              <w:rPr>
                <w:rFonts w:ascii="Arial" w:hAnsi="Arial" w:cs="Arial"/>
              </w:rPr>
              <w:t xml:space="preserve">, die schnell ausgezogen werden können. Bei der Handhabung großer Dewar- oder </w:t>
            </w:r>
            <w:proofErr w:type="spellStart"/>
            <w:r w:rsidRPr="00E853DE">
              <w:rPr>
                <w:rFonts w:ascii="Arial" w:hAnsi="Arial" w:cs="Arial"/>
              </w:rPr>
              <w:t>Kryogefäße</w:t>
            </w:r>
            <w:proofErr w:type="spellEnd"/>
            <w:r w:rsidRPr="00E853DE">
              <w:rPr>
                <w:rFonts w:ascii="Arial" w:hAnsi="Arial" w:cs="Arial"/>
              </w:rPr>
              <w:t xml:space="preserve"> Sicherheitsschuhe tragen. </w:t>
            </w:r>
          </w:p>
          <w:p w:rsidR="00FB14D5" w:rsidRPr="00F74842" w:rsidRDefault="00FB14D5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74842">
              <w:rPr>
                <w:rFonts w:ascii="Arial" w:hAnsi="Arial" w:cs="Arial"/>
              </w:rPr>
              <w:t>An der</w:t>
            </w:r>
            <w:r w:rsidRPr="00F74842">
              <w:rPr>
                <w:rFonts w:ascii="Arial" w:hAnsi="Arial" w:cs="Arial"/>
                <w:b/>
              </w:rPr>
              <w:t xml:space="preserve"> Abfüllstation </w:t>
            </w:r>
            <w:r w:rsidRPr="00F74842">
              <w:rPr>
                <w:rFonts w:ascii="Arial" w:hAnsi="Arial" w:cs="Arial"/>
              </w:rPr>
              <w:t xml:space="preserve">ist </w:t>
            </w:r>
            <w:r w:rsidRPr="00F74842">
              <w:rPr>
                <w:rFonts w:ascii="Arial" w:hAnsi="Arial" w:cs="Arial"/>
                <w:u w:val="single"/>
              </w:rPr>
              <w:t>zusätzlich</w:t>
            </w:r>
            <w:r w:rsidRPr="00F74842">
              <w:rPr>
                <w:rFonts w:ascii="Arial" w:hAnsi="Arial" w:cs="Arial"/>
              </w:rPr>
              <w:t xml:space="preserve"> eine</w:t>
            </w:r>
            <w:r w:rsidRPr="00F74842">
              <w:rPr>
                <w:rFonts w:ascii="Arial" w:hAnsi="Arial" w:cs="Arial"/>
                <w:b/>
              </w:rPr>
              <w:t xml:space="preserve"> Schürze </w:t>
            </w:r>
            <w:r w:rsidRPr="00F74842">
              <w:rPr>
                <w:rFonts w:ascii="Arial" w:hAnsi="Arial" w:cs="Arial"/>
              </w:rPr>
              <w:t>zu</w:t>
            </w:r>
            <w:r w:rsidRPr="00F74842">
              <w:rPr>
                <w:rFonts w:ascii="Arial" w:hAnsi="Arial" w:cs="Arial"/>
                <w:b/>
              </w:rPr>
              <w:t xml:space="preserve"> tragen.</w:t>
            </w:r>
          </w:p>
          <w:p w:rsidR="00A62809" w:rsidRPr="00E853DE" w:rsidRDefault="00A62809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</w:rPr>
              <w:t xml:space="preserve">Saubere, trockene, </w:t>
            </w:r>
            <w:r w:rsidR="00327ACF" w:rsidRPr="00E853DE">
              <w:rPr>
                <w:rFonts w:ascii="Arial" w:hAnsi="Arial" w:cs="Arial"/>
              </w:rPr>
              <w:t xml:space="preserve">körperbedeckende, </w:t>
            </w:r>
            <w:r w:rsidRPr="00E853DE">
              <w:rPr>
                <w:rFonts w:ascii="Arial" w:hAnsi="Arial" w:cs="Arial"/>
              </w:rPr>
              <w:t>nicht enganliegende Kleidung aus Naturfasern</w:t>
            </w:r>
            <w:r w:rsidR="0052139B">
              <w:rPr>
                <w:rFonts w:ascii="Arial" w:hAnsi="Arial" w:cs="Arial"/>
              </w:rPr>
              <w:t xml:space="preserve"> tragen,</w:t>
            </w:r>
            <w:r w:rsidRPr="00E853DE">
              <w:rPr>
                <w:rFonts w:ascii="Arial" w:hAnsi="Arial" w:cs="Arial"/>
              </w:rPr>
              <w:t xml:space="preserve"> Hosenbeine oder Ärmel </w:t>
            </w:r>
            <w:r w:rsidR="0052139B">
              <w:rPr>
                <w:rFonts w:ascii="Arial" w:hAnsi="Arial" w:cs="Arial"/>
              </w:rPr>
              <w:t>nicht umschlagen.</w:t>
            </w:r>
            <w:bookmarkStart w:id="0" w:name="_GoBack"/>
            <w:bookmarkEnd w:id="0"/>
            <w:r w:rsidRPr="00E853DE">
              <w:rPr>
                <w:rFonts w:ascii="Arial" w:hAnsi="Arial" w:cs="Arial"/>
              </w:rPr>
              <w:t xml:space="preserve"> </w:t>
            </w:r>
          </w:p>
          <w:p w:rsidR="00FA4423" w:rsidRPr="00E853DE" w:rsidRDefault="00203DC9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</w:rPr>
              <w:t>Gefäße imm</w:t>
            </w:r>
            <w:r w:rsidR="00A62809" w:rsidRPr="00E853DE">
              <w:rPr>
                <w:rFonts w:ascii="Arial" w:hAnsi="Arial" w:cs="Arial"/>
              </w:rPr>
              <w:t>er sofort abdecken, nicht offen</w:t>
            </w:r>
            <w:r w:rsidRPr="00E853DE">
              <w:rPr>
                <w:rFonts w:ascii="Arial" w:hAnsi="Arial" w:cs="Arial"/>
              </w:rPr>
              <w:t>stehen lassen! Lagerbehälter nur kurz öffnen, regelmäßig das Flü</w:t>
            </w:r>
            <w:r w:rsidR="00906BBA">
              <w:rPr>
                <w:rFonts w:ascii="Arial" w:hAnsi="Arial" w:cs="Arial"/>
              </w:rPr>
              <w:t>ssiggas vollständig austauschen.</w:t>
            </w:r>
            <w:r w:rsidRPr="00E853DE">
              <w:rPr>
                <w:rFonts w:ascii="Arial" w:hAnsi="Arial" w:cs="Arial"/>
              </w:rPr>
              <w:t xml:space="preserve"> </w:t>
            </w:r>
          </w:p>
          <w:p w:rsidR="00FA4423" w:rsidRPr="00E853DE" w:rsidRDefault="00203DC9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E853DE">
              <w:rPr>
                <w:rFonts w:ascii="Arial" w:hAnsi="Arial" w:cs="Arial"/>
              </w:rPr>
              <w:t>Kryobehälter</w:t>
            </w:r>
            <w:proofErr w:type="spellEnd"/>
            <w:r w:rsidRPr="00E853DE">
              <w:rPr>
                <w:rFonts w:ascii="Arial" w:hAnsi="Arial" w:cs="Arial"/>
              </w:rPr>
              <w:t xml:space="preserve"> so transportieren, dass sie nicht umfallen oder herabfallen können. </w:t>
            </w:r>
          </w:p>
          <w:p w:rsidR="00FA4423" w:rsidRPr="00E853DE" w:rsidRDefault="00203DC9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</w:rPr>
              <w:t xml:space="preserve">Flüssiges Gas aus </w:t>
            </w:r>
            <w:proofErr w:type="spellStart"/>
            <w:r w:rsidRPr="00E853DE">
              <w:rPr>
                <w:rFonts w:ascii="Arial" w:hAnsi="Arial" w:cs="Arial"/>
              </w:rPr>
              <w:t>Dewargefäßen</w:t>
            </w:r>
            <w:proofErr w:type="spellEnd"/>
            <w:r w:rsidRPr="00E853DE">
              <w:rPr>
                <w:rFonts w:ascii="Arial" w:hAnsi="Arial" w:cs="Arial"/>
              </w:rPr>
              <w:t xml:space="preserve"> nich</w:t>
            </w:r>
            <w:r w:rsidR="00906BBA">
              <w:rPr>
                <w:rFonts w:ascii="Arial" w:hAnsi="Arial" w:cs="Arial"/>
              </w:rPr>
              <w:t>t zurück in Vorratsgefäße geben.</w:t>
            </w:r>
            <w:r w:rsidRPr="00E853DE">
              <w:rPr>
                <w:rFonts w:ascii="Arial" w:hAnsi="Arial" w:cs="Arial"/>
              </w:rPr>
              <w:t xml:space="preserve"> </w:t>
            </w:r>
          </w:p>
          <w:p w:rsidR="00FA4423" w:rsidRPr="00E853DE" w:rsidRDefault="00203DC9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</w:rPr>
              <w:t xml:space="preserve">Tiefkalte Flüssigkeiten nur langsam und portionsweise in wärmere Gefäße/Lösungen geben und den Behälter schwenken/die Lösung rühren. </w:t>
            </w:r>
            <w:r w:rsidR="00110EFD" w:rsidRPr="00E853DE">
              <w:rPr>
                <w:rFonts w:ascii="Arial" w:hAnsi="Arial" w:cs="Arial"/>
              </w:rPr>
              <w:t>N</w:t>
            </w:r>
            <w:r w:rsidRPr="00E853DE">
              <w:rPr>
                <w:rFonts w:ascii="Arial" w:hAnsi="Arial" w:cs="Arial"/>
              </w:rPr>
              <w:t xml:space="preserve">ur trockene Hilfsmittel verwenden. </w:t>
            </w:r>
          </w:p>
          <w:p w:rsidR="00FA4423" w:rsidRPr="00E853DE" w:rsidRDefault="00203DC9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</w:rPr>
              <w:t xml:space="preserve">Behälter, Leitungen, verschraubte Flansche regelmäßig auf Materialschrumpfungen prüfen. </w:t>
            </w:r>
          </w:p>
          <w:p w:rsidR="00402BC5" w:rsidRPr="00E853DE" w:rsidRDefault="00402BC5" w:rsidP="00110EF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853DE">
              <w:rPr>
                <w:rFonts w:ascii="Arial" w:hAnsi="Arial" w:cs="Arial"/>
              </w:rPr>
              <w:t xml:space="preserve">Für die Probenlagerung in </w:t>
            </w:r>
            <w:proofErr w:type="spellStart"/>
            <w:r w:rsidRPr="00E853DE">
              <w:rPr>
                <w:rFonts w:ascii="Arial" w:hAnsi="Arial" w:cs="Arial"/>
              </w:rPr>
              <w:t>tiefkalt</w:t>
            </w:r>
            <w:proofErr w:type="spellEnd"/>
            <w:r w:rsidRPr="00E853DE">
              <w:rPr>
                <w:rFonts w:ascii="Arial" w:hAnsi="Arial" w:cs="Arial"/>
              </w:rPr>
              <w:t xml:space="preserve"> verflüssigten Gasen ausschließ</w:t>
            </w:r>
            <w:r w:rsidR="00FF6D69">
              <w:rPr>
                <w:rFonts w:ascii="Arial" w:hAnsi="Arial" w:cs="Arial"/>
              </w:rPr>
              <w:t>lich dicht schließende</w:t>
            </w:r>
            <w:r w:rsidR="00211F00">
              <w:rPr>
                <w:rFonts w:ascii="Arial" w:hAnsi="Arial" w:cs="Arial"/>
              </w:rPr>
              <w:t xml:space="preserve"> und</w:t>
            </w:r>
            <w:r w:rsidR="00FF6D69">
              <w:rPr>
                <w:rFonts w:ascii="Arial" w:hAnsi="Arial" w:cs="Arial"/>
              </w:rPr>
              <w:t xml:space="preserve"> für die</w:t>
            </w:r>
            <w:r w:rsidRPr="00E853DE">
              <w:rPr>
                <w:rFonts w:ascii="Arial" w:hAnsi="Arial" w:cs="Arial"/>
              </w:rPr>
              <w:t xml:space="preserve"> Lagerung bei Tieftemperaturen geeignete </w:t>
            </w:r>
            <w:proofErr w:type="spellStart"/>
            <w:r w:rsidRPr="00E853DE">
              <w:rPr>
                <w:rFonts w:ascii="Arial" w:hAnsi="Arial" w:cs="Arial"/>
              </w:rPr>
              <w:t>Kryoröhrchen</w:t>
            </w:r>
            <w:proofErr w:type="spellEnd"/>
            <w:r w:rsidRPr="00E853DE">
              <w:rPr>
                <w:rFonts w:ascii="Arial" w:hAnsi="Arial" w:cs="Arial"/>
              </w:rPr>
              <w:t xml:space="preserve"> verwenden.</w:t>
            </w:r>
          </w:p>
          <w:p w:rsidR="003C5B77" w:rsidRPr="00110EFD" w:rsidRDefault="008C571D" w:rsidP="00E57AC7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E853DE">
              <w:rPr>
                <w:rFonts w:ascii="Arial" w:hAnsi="Arial" w:cs="Arial"/>
                <w:b/>
              </w:rPr>
              <w:t>Z</w:t>
            </w:r>
            <w:r w:rsidR="00110EFD" w:rsidRPr="00E853DE">
              <w:rPr>
                <w:rFonts w:ascii="Arial" w:hAnsi="Arial" w:cs="Arial"/>
                <w:b/>
              </w:rPr>
              <w:t>usätzlich</w:t>
            </w:r>
            <w:r w:rsidR="00110EFD" w:rsidRPr="00E853DE">
              <w:rPr>
                <w:rFonts w:ascii="Arial" w:hAnsi="Arial" w:cs="Arial"/>
              </w:rPr>
              <w:t xml:space="preserve"> die </w:t>
            </w:r>
            <w:r w:rsidR="00110EFD" w:rsidRPr="00E853DE">
              <w:rPr>
                <w:rFonts w:ascii="Arial" w:hAnsi="Arial" w:cs="Arial"/>
                <w:b/>
              </w:rPr>
              <w:t>Betriebsanweisung ‚Transport von Gefahrstoffen in Aufzügen‘</w:t>
            </w:r>
            <w:r w:rsidR="00E57AC7" w:rsidRPr="00E853DE">
              <w:rPr>
                <w:rFonts w:ascii="Arial" w:hAnsi="Arial" w:cs="Arial"/>
                <w:b/>
              </w:rPr>
              <w:t xml:space="preserve"> </w:t>
            </w:r>
            <w:r w:rsidR="00110EFD" w:rsidRPr="00E853DE">
              <w:rPr>
                <w:rFonts w:ascii="Arial" w:hAnsi="Arial" w:cs="Arial"/>
                <w:b/>
              </w:rPr>
              <w:t>beachten</w:t>
            </w:r>
            <w:r w:rsidR="00110EFD" w:rsidRPr="00E853DE">
              <w:rPr>
                <w:rFonts w:ascii="Arial" w:hAnsi="Arial" w:cs="Arial"/>
                <w:b/>
                <w:color w:val="000000"/>
              </w:rPr>
              <w:t>.</w:t>
            </w:r>
            <w:r w:rsidR="00110EFD" w:rsidRPr="00692D7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C5B77">
        <w:tc>
          <w:tcPr>
            <w:tcW w:w="10918" w:type="dxa"/>
            <w:gridSpan w:val="6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3C5B77" w:rsidRDefault="00110EFD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Verhalten im Gefahrfall</w:t>
            </w:r>
          </w:p>
        </w:tc>
      </w:tr>
      <w:tr w:rsidR="003C5B77">
        <w:tc>
          <w:tcPr>
            <w:tcW w:w="10918" w:type="dxa"/>
            <w:gridSpan w:val="6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E57AC7" w:rsidRPr="00E57AC7" w:rsidRDefault="00110EFD" w:rsidP="00E57AC7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57AC7">
              <w:rPr>
                <w:rFonts w:ascii="Arial" w:hAnsi="Arial" w:cs="Arial"/>
                <w:sz w:val="18"/>
                <w:szCs w:val="18"/>
              </w:rPr>
              <w:t>Gefahrenbereich räumen und absperren, Vorgesetzte</w:t>
            </w:r>
            <w:r w:rsidR="00CB1F87">
              <w:rPr>
                <w:rFonts w:ascii="Arial" w:hAnsi="Arial" w:cs="Arial"/>
                <w:sz w:val="18"/>
                <w:szCs w:val="18"/>
              </w:rPr>
              <w:t>*</w:t>
            </w:r>
            <w:r w:rsidRPr="00E57AC7">
              <w:rPr>
                <w:rFonts w:ascii="Arial" w:hAnsi="Arial" w:cs="Arial"/>
                <w:sz w:val="18"/>
                <w:szCs w:val="18"/>
              </w:rPr>
              <w:t xml:space="preserve">n informieren. </w:t>
            </w:r>
          </w:p>
          <w:p w:rsidR="00E57AC7" w:rsidRPr="00E57AC7" w:rsidRDefault="00110EFD" w:rsidP="00E57AC7">
            <w:pPr>
              <w:numPr>
                <w:ilvl w:val="0"/>
                <w:numId w:val="22"/>
              </w:numPr>
              <w:rPr>
                <w:noProof/>
                <w:sz w:val="18"/>
                <w:szCs w:val="18"/>
              </w:rPr>
            </w:pPr>
            <w:r w:rsidRPr="00393541">
              <w:rPr>
                <w:rFonts w:ascii="Arial" w:hAnsi="Arial" w:cs="Arial"/>
                <w:b/>
                <w:sz w:val="18"/>
                <w:szCs w:val="18"/>
              </w:rPr>
              <w:t>Bei Auslaufen größerer Mengen</w:t>
            </w:r>
            <w:r w:rsidR="0039354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57AC7">
              <w:rPr>
                <w:rFonts w:ascii="Arial" w:hAnsi="Arial" w:cs="Arial"/>
                <w:sz w:val="18"/>
                <w:szCs w:val="18"/>
              </w:rPr>
              <w:t>Arbeitsplatz verlassen! Betreten des Bere</w:t>
            </w:r>
            <w:r w:rsidR="00E22654">
              <w:rPr>
                <w:rFonts w:ascii="Arial" w:hAnsi="Arial" w:cs="Arial"/>
                <w:sz w:val="18"/>
                <w:szCs w:val="18"/>
              </w:rPr>
              <w:t>iches nur mit umgebungsluftunab</w:t>
            </w:r>
            <w:r w:rsidRPr="00E57AC7">
              <w:rPr>
                <w:rFonts w:ascii="Arial" w:hAnsi="Arial" w:cs="Arial"/>
                <w:sz w:val="18"/>
                <w:szCs w:val="18"/>
              </w:rPr>
              <w:t xml:space="preserve">hängigem Atemschutzgerät oder auf besondere Anweisung nach Prüfung des Sauerstoffgehaltes der Luft. Für ausreichende Lüftung sorgen. </w:t>
            </w:r>
          </w:p>
          <w:p w:rsidR="00E853DE" w:rsidRPr="00E853DE" w:rsidRDefault="00E853DE" w:rsidP="00E853DE">
            <w:pPr>
              <w:numPr>
                <w:ilvl w:val="0"/>
                <w:numId w:val="22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E853DE">
              <w:rPr>
                <w:rFonts w:ascii="Arial" w:hAnsi="Arial" w:cs="Arial"/>
                <w:noProof/>
                <w:sz w:val="18"/>
                <w:szCs w:val="18"/>
              </w:rPr>
              <w:t>Beschädigte Kryobehälter in Sicherheit bringen und Inhalt an freier Luft sicher verdampfen lassen.</w:t>
            </w:r>
          </w:p>
          <w:p w:rsidR="003C5B77" w:rsidRPr="00E853DE" w:rsidRDefault="00E853DE" w:rsidP="00E853DE">
            <w:pPr>
              <w:numPr>
                <w:ilvl w:val="0"/>
                <w:numId w:val="22"/>
              </w:numPr>
              <w:rPr>
                <w:noProof/>
                <w:sz w:val="18"/>
                <w:szCs w:val="18"/>
              </w:rPr>
            </w:pPr>
            <w:r w:rsidRPr="00E853DE">
              <w:rPr>
                <w:rFonts w:ascii="Arial" w:hAnsi="Arial" w:cs="Arial"/>
                <w:noProof/>
                <w:sz w:val="18"/>
                <w:szCs w:val="18"/>
              </w:rPr>
              <w:t>Eindringen größerer Flüssigkeitsmengen in tiefgelegene Räume sicher verhindern. Niemals in Gruben oder Senken hinabsteigen die noch tiefkalte Flüssigkeit (auch geringen Mengen) enthalten.</w:t>
            </w:r>
          </w:p>
        </w:tc>
      </w:tr>
      <w:tr w:rsidR="003C5B77">
        <w:tc>
          <w:tcPr>
            <w:tcW w:w="7571" w:type="dxa"/>
            <w:gridSpan w:val="5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3C5B77" w:rsidRDefault="00E57AC7">
            <w:pPr>
              <w:pStyle w:val="berschrift4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="003C5B77">
              <w:rPr>
                <w:rFonts w:ascii="Arial" w:hAnsi="Arial" w:cs="Arial"/>
              </w:rPr>
              <w:t>Erste Hilfe</w:t>
            </w:r>
          </w:p>
        </w:tc>
        <w:tc>
          <w:tcPr>
            <w:tcW w:w="3347" w:type="dxa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3C5B77" w:rsidRDefault="003C5B77">
            <w:pPr>
              <w:pStyle w:val="berschrift4"/>
              <w:keepNext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NOTRUF 112</w:t>
            </w:r>
          </w:p>
        </w:tc>
      </w:tr>
      <w:tr w:rsidR="003C5B77">
        <w:trPr>
          <w:trHeight w:val="256"/>
        </w:trPr>
        <w:tc>
          <w:tcPr>
            <w:tcW w:w="1419" w:type="dxa"/>
            <w:tcBorders>
              <w:left w:val="single" w:sz="48" w:space="0" w:color="FFCC00"/>
            </w:tcBorders>
            <w:shd w:val="clear" w:color="FF0000" w:fill="auto"/>
          </w:tcPr>
          <w:p w:rsidR="003C5B77" w:rsidRDefault="003C5B77">
            <w:pPr>
              <w:pStyle w:val="berschrift4"/>
              <w:keepNext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71.5pt" o:ole="">
                  <v:imagedata r:id="rId11" o:title=""/>
                </v:shape>
                <o:OLEObject Type="Embed" ProgID="PBrush" ShapeID="_x0000_i1025" DrawAspect="Content" ObjectID="_1768307613" r:id="rId12"/>
              </w:object>
            </w:r>
          </w:p>
        </w:tc>
        <w:tc>
          <w:tcPr>
            <w:tcW w:w="9499" w:type="dxa"/>
            <w:gridSpan w:val="5"/>
            <w:tcBorders>
              <w:right w:val="single" w:sz="48" w:space="0" w:color="FFCC00"/>
            </w:tcBorders>
            <w:shd w:val="clear" w:color="FF0000" w:fill="auto"/>
          </w:tcPr>
          <w:p w:rsidR="00E57AC7" w:rsidRPr="00C15196" w:rsidRDefault="00E57AC7" w:rsidP="00E57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Selbstschutz beachten, Vorgesetz</w:t>
            </w:r>
            <w:r w:rsidR="00C15196" w:rsidRPr="00C15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</w:t>
            </w:r>
            <w:r w:rsidRPr="00C15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="00CB1F87" w:rsidRPr="00C15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*n</w:t>
            </w:r>
            <w:r w:rsidRPr="00C15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informieren.</w:t>
            </w:r>
          </w:p>
          <w:p w:rsidR="00393541" w:rsidRDefault="00E57AC7" w:rsidP="00E57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AC7">
              <w:rPr>
                <w:rFonts w:ascii="Arial" w:hAnsi="Arial" w:cs="Arial"/>
                <w:b/>
                <w:color w:val="000000"/>
                <w:sz w:val="18"/>
                <w:szCs w:val="18"/>
              </w:rPr>
              <w:t>Nach Einatmen:</w:t>
            </w:r>
            <w:r w:rsidRPr="00E57A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2654">
              <w:rPr>
                <w:rFonts w:ascii="Arial" w:hAnsi="Arial" w:cs="Arial"/>
                <w:color w:val="000000"/>
                <w:sz w:val="18"/>
                <w:szCs w:val="18"/>
              </w:rPr>
              <w:t>Person aus dem Gefahrenbereich bringen.</w:t>
            </w:r>
            <w:r w:rsidR="008C57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57AC7">
              <w:rPr>
                <w:rFonts w:ascii="Arial" w:hAnsi="Arial" w:cs="Arial"/>
                <w:color w:val="000000"/>
                <w:sz w:val="18"/>
                <w:szCs w:val="18"/>
              </w:rPr>
              <w:t xml:space="preserve">Frischluftzufuhr. Warm und ruhig halten. </w:t>
            </w:r>
            <w:r w:rsidR="00CB1F87">
              <w:rPr>
                <w:rFonts w:ascii="Arial" w:hAnsi="Arial" w:cs="Arial"/>
                <w:color w:val="000000"/>
                <w:sz w:val="18"/>
                <w:szCs w:val="18"/>
              </w:rPr>
              <w:t>Ärztliche Behandlung</w:t>
            </w:r>
            <w:r w:rsidRPr="00E57AC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E57AC7" w:rsidRPr="00E57AC7" w:rsidRDefault="00E57AC7" w:rsidP="00E57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AC7">
              <w:rPr>
                <w:rFonts w:ascii="Arial" w:hAnsi="Arial" w:cs="Arial"/>
                <w:b/>
                <w:color w:val="000000"/>
                <w:sz w:val="18"/>
                <w:szCs w:val="18"/>
              </w:rPr>
              <w:t>Nach Hautkontakt:</w:t>
            </w:r>
            <w:r w:rsidRPr="00E57AC7">
              <w:rPr>
                <w:rFonts w:ascii="Arial" w:hAnsi="Arial" w:cs="Arial"/>
                <w:color w:val="000000"/>
                <w:sz w:val="18"/>
                <w:szCs w:val="18"/>
              </w:rPr>
              <w:t xml:space="preserve"> Mindestens 15 Minuten mit Wasser spülen. Steril abdecken. </w:t>
            </w:r>
            <w:r w:rsidR="00CB1F87">
              <w:rPr>
                <w:rFonts w:ascii="Arial" w:hAnsi="Arial" w:cs="Arial"/>
                <w:color w:val="000000"/>
                <w:sz w:val="18"/>
                <w:szCs w:val="18"/>
              </w:rPr>
              <w:t>Ärztliche Behandlung</w:t>
            </w:r>
            <w:r w:rsidRPr="00E57AC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C5B77" w:rsidRPr="00E57AC7" w:rsidRDefault="00E57AC7" w:rsidP="00DE67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7AC7">
              <w:rPr>
                <w:rFonts w:ascii="Arial" w:hAnsi="Arial" w:cs="Arial"/>
                <w:b/>
                <w:color w:val="000000"/>
                <w:sz w:val="18"/>
                <w:szCs w:val="18"/>
              </w:rPr>
              <w:t>Nach Augenkontakt:</w:t>
            </w:r>
            <w:r w:rsidRPr="00E57AC7">
              <w:rPr>
                <w:rFonts w:ascii="Arial" w:hAnsi="Arial" w:cs="Arial"/>
                <w:color w:val="000000"/>
                <w:sz w:val="18"/>
                <w:szCs w:val="18"/>
              </w:rPr>
              <w:t xml:space="preserve"> Auge sofort mit Wasser spülen. Eventuell Vorhandene Kontaktlinsen nach M</w:t>
            </w:r>
            <w:r w:rsidR="00393541">
              <w:rPr>
                <w:rFonts w:ascii="Arial" w:hAnsi="Arial" w:cs="Arial"/>
                <w:color w:val="000000"/>
                <w:sz w:val="18"/>
                <w:szCs w:val="18"/>
              </w:rPr>
              <w:t xml:space="preserve">öglichkeit entfernen. Weiter </w:t>
            </w:r>
            <w:r w:rsidRPr="00E57AC7">
              <w:rPr>
                <w:rFonts w:ascii="Arial" w:hAnsi="Arial" w:cs="Arial"/>
                <w:color w:val="000000"/>
                <w:sz w:val="18"/>
                <w:szCs w:val="18"/>
              </w:rPr>
              <w:t>spülen. Mindestens 15 Minuten lang gründlich mit Wasser spülen. Sofort ärztliche Hilfe hinzuziehen. Wenn ärztliche Hilfe nicht sofort verfügbar ist, weitere 15 Minuten spülen.</w:t>
            </w:r>
          </w:p>
        </w:tc>
      </w:tr>
      <w:tr w:rsidR="003C5B77">
        <w:trPr>
          <w:cantSplit/>
        </w:trPr>
        <w:tc>
          <w:tcPr>
            <w:tcW w:w="10918" w:type="dxa"/>
            <w:gridSpan w:val="6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3C5B77" w:rsidRDefault="003C5B77">
            <w:pPr>
              <w:pStyle w:val="berschrift4"/>
              <w:keepNext w:val="0"/>
              <w:rPr>
                <w:rFonts w:ascii="Arial" w:hAnsi="Arial" w:cs="Arial"/>
                <w:b w:val="0"/>
              </w:rPr>
            </w:pPr>
          </w:p>
        </w:tc>
      </w:tr>
    </w:tbl>
    <w:p w:rsidR="003C5B77" w:rsidRDefault="003C5B77">
      <w:pPr>
        <w:ind w:right="-1"/>
      </w:pPr>
    </w:p>
    <w:sectPr w:rsidR="003C5B77">
      <w:headerReference w:type="even" r:id="rId13"/>
      <w:headerReference w:type="default" r:id="rId14"/>
      <w:footerReference w:type="first" r:id="rId15"/>
      <w:pgSz w:w="11906" w:h="16838" w:code="9"/>
      <w:pgMar w:top="465" w:right="567" w:bottom="567" w:left="1474" w:header="720" w:footer="5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95" w:rsidRDefault="002C1495" w:rsidP="003C5B77">
      <w:r>
        <w:separator/>
      </w:r>
    </w:p>
  </w:endnote>
  <w:endnote w:type="continuationSeparator" w:id="0">
    <w:p w:rsidR="002C1495" w:rsidRDefault="002C1495" w:rsidP="003C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77" w:rsidRDefault="003C5B77">
    <w:pPr>
      <w:pStyle w:val="Fuzeile"/>
      <w:jc w:val="right"/>
    </w:pPr>
    <w:r>
      <w:t xml:space="preserve">Stand </w:t>
    </w:r>
    <w:r w:rsidR="00CB1F87">
      <w:t>01</w:t>
    </w:r>
    <w:r w:rsidR="001D6EAB">
      <w:t>/</w:t>
    </w:r>
    <w:r w:rsidR="00A62809">
      <w:t>202</w:t>
    </w:r>
    <w:r w:rsidR="00CB1F8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95" w:rsidRDefault="002C1495" w:rsidP="003C5B77">
      <w:r>
        <w:separator/>
      </w:r>
    </w:p>
  </w:footnote>
  <w:footnote w:type="continuationSeparator" w:id="0">
    <w:p w:rsidR="002C1495" w:rsidRDefault="002C1495" w:rsidP="003C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77" w:rsidRDefault="003C5B7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1F87">
      <w:rPr>
        <w:rStyle w:val="Seitenzahl"/>
        <w:noProof/>
      </w:rPr>
      <w:t>2</w:t>
    </w:r>
    <w:r>
      <w:rPr>
        <w:rStyle w:val="Seitenzahl"/>
      </w:rPr>
      <w:fldChar w:fldCharType="end"/>
    </w:r>
  </w:p>
  <w:p w:rsidR="003C5B77" w:rsidRDefault="003C5B77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77" w:rsidRDefault="003C5B7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3DC9">
      <w:rPr>
        <w:rStyle w:val="Seitenzahl"/>
        <w:noProof/>
      </w:rPr>
      <w:t>3</w:t>
    </w:r>
    <w:r>
      <w:rPr>
        <w:rStyle w:val="Seitenzahl"/>
      </w:rPr>
      <w:fldChar w:fldCharType="end"/>
    </w:r>
  </w:p>
  <w:p w:rsidR="003C5B77" w:rsidRDefault="003C5B77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330390"/>
    <w:multiLevelType w:val="hybridMultilevel"/>
    <w:tmpl w:val="0FC09B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530BE"/>
    <w:multiLevelType w:val="hybridMultilevel"/>
    <w:tmpl w:val="564036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512C"/>
    <w:multiLevelType w:val="hybridMultilevel"/>
    <w:tmpl w:val="9DD800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2CCD62C8"/>
    <w:multiLevelType w:val="hybridMultilevel"/>
    <w:tmpl w:val="B7B04BC2"/>
    <w:lvl w:ilvl="0" w:tplc="E90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C57E68"/>
    <w:multiLevelType w:val="hybridMultilevel"/>
    <w:tmpl w:val="0E2AD792"/>
    <w:lvl w:ilvl="0" w:tplc="6DD4D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3878"/>
    <w:multiLevelType w:val="hybridMultilevel"/>
    <w:tmpl w:val="C1A42316"/>
    <w:lvl w:ilvl="0" w:tplc="73F4F98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D61DF"/>
    <w:multiLevelType w:val="hybridMultilevel"/>
    <w:tmpl w:val="7A081D1A"/>
    <w:lvl w:ilvl="0" w:tplc="CCE2AB9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67C30"/>
    <w:multiLevelType w:val="hybridMultilevel"/>
    <w:tmpl w:val="42145A9A"/>
    <w:lvl w:ilvl="0" w:tplc="76425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54E81"/>
    <w:multiLevelType w:val="hybridMultilevel"/>
    <w:tmpl w:val="CCAED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12" w15:restartNumberingAfterBreak="0">
    <w:nsid w:val="4D2258D3"/>
    <w:multiLevelType w:val="hybridMultilevel"/>
    <w:tmpl w:val="EDBE5AF6"/>
    <w:lvl w:ilvl="0" w:tplc="6DD4D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369A8"/>
    <w:multiLevelType w:val="hybridMultilevel"/>
    <w:tmpl w:val="3B1A9E0C"/>
    <w:lvl w:ilvl="0" w:tplc="6DD4D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C780F20"/>
    <w:multiLevelType w:val="hybridMultilevel"/>
    <w:tmpl w:val="564036B6"/>
    <w:lvl w:ilvl="0" w:tplc="73F4F9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227608"/>
    <w:multiLevelType w:val="hybridMultilevel"/>
    <w:tmpl w:val="C1A42316"/>
    <w:lvl w:ilvl="0" w:tplc="76425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4"/>
  </w:num>
  <w:num w:numId="4">
    <w:abstractNumId w:val="1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4"/>
  </w:num>
  <w:num w:numId="13">
    <w:abstractNumId w:val="9"/>
  </w:num>
  <w:num w:numId="14">
    <w:abstractNumId w:val="1"/>
  </w:num>
  <w:num w:numId="15">
    <w:abstractNumId w:val="18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5"/>
  </w:num>
  <w:num w:numId="21">
    <w:abstractNumId w:val="17"/>
  </w:num>
  <w:num w:numId="22">
    <w:abstractNumId w:val="8"/>
  </w:num>
  <w:num w:numId="23">
    <w:abstractNumId w:val="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79"/>
    <w:rsid w:val="00007C80"/>
    <w:rsid w:val="000232DE"/>
    <w:rsid w:val="00050F79"/>
    <w:rsid w:val="000B41EE"/>
    <w:rsid w:val="00110EFD"/>
    <w:rsid w:val="001544D3"/>
    <w:rsid w:val="00164556"/>
    <w:rsid w:val="001D6EAB"/>
    <w:rsid w:val="00203DC9"/>
    <w:rsid w:val="00206E10"/>
    <w:rsid w:val="00211F00"/>
    <w:rsid w:val="002C1495"/>
    <w:rsid w:val="002E3BDB"/>
    <w:rsid w:val="003210DB"/>
    <w:rsid w:val="003219C6"/>
    <w:rsid w:val="00327ACF"/>
    <w:rsid w:val="00364D84"/>
    <w:rsid w:val="00393541"/>
    <w:rsid w:val="003B4640"/>
    <w:rsid w:val="003C5B77"/>
    <w:rsid w:val="003F580E"/>
    <w:rsid w:val="00402BC5"/>
    <w:rsid w:val="00453D71"/>
    <w:rsid w:val="004B2784"/>
    <w:rsid w:val="004E3E9E"/>
    <w:rsid w:val="0052139B"/>
    <w:rsid w:val="005244CB"/>
    <w:rsid w:val="005A7E5E"/>
    <w:rsid w:val="005C37EA"/>
    <w:rsid w:val="006063FB"/>
    <w:rsid w:val="006B1DD4"/>
    <w:rsid w:val="007F6CD3"/>
    <w:rsid w:val="00807F98"/>
    <w:rsid w:val="00821AD2"/>
    <w:rsid w:val="008A0751"/>
    <w:rsid w:val="008A1370"/>
    <w:rsid w:val="008C571D"/>
    <w:rsid w:val="008E3D36"/>
    <w:rsid w:val="00906BBA"/>
    <w:rsid w:val="00934036"/>
    <w:rsid w:val="00A0465F"/>
    <w:rsid w:val="00A62809"/>
    <w:rsid w:val="00AC7E5B"/>
    <w:rsid w:val="00B11629"/>
    <w:rsid w:val="00BC2381"/>
    <w:rsid w:val="00C15196"/>
    <w:rsid w:val="00CB1F87"/>
    <w:rsid w:val="00CF7B67"/>
    <w:rsid w:val="00D5119F"/>
    <w:rsid w:val="00DE6777"/>
    <w:rsid w:val="00E22654"/>
    <w:rsid w:val="00E26A97"/>
    <w:rsid w:val="00E27C8B"/>
    <w:rsid w:val="00E57AC7"/>
    <w:rsid w:val="00E61F79"/>
    <w:rsid w:val="00E853DE"/>
    <w:rsid w:val="00ED6E91"/>
    <w:rsid w:val="00EF1E00"/>
    <w:rsid w:val="00F733C0"/>
    <w:rsid w:val="00F74842"/>
    <w:rsid w:val="00FA4423"/>
    <w:rsid w:val="00FB14D5"/>
    <w:rsid w:val="00FD5EFB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4F7F37"/>
  <w15:chartTrackingRefBased/>
  <w15:docId w15:val="{D8B97AEC-CFC4-4402-A0CB-7607973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Kommentarzeichen">
    <w:name w:val="annotation reference"/>
    <w:uiPriority w:val="99"/>
    <w:semiHidden/>
    <w:unhideWhenUsed/>
    <w:rsid w:val="00327A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ACF"/>
  </w:style>
  <w:style w:type="character" w:customStyle="1" w:styleId="KommentartextZchn">
    <w:name w:val="Kommentartext Zchn"/>
    <w:link w:val="Kommentartext"/>
    <w:uiPriority w:val="99"/>
    <w:semiHidden/>
    <w:rsid w:val="00327ACF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A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7ACF"/>
    <w:rPr>
      <w:rFonts w:ascii="Century Gothic" w:hAnsi="Century Gothic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A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2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Reinhardt.Berit</cp:lastModifiedBy>
  <cp:revision>5</cp:revision>
  <cp:lastPrinted>2001-08-03T13:57:00Z</cp:lastPrinted>
  <dcterms:created xsi:type="dcterms:W3CDTF">2024-01-24T10:04:00Z</dcterms:created>
  <dcterms:modified xsi:type="dcterms:W3CDTF">2024-02-01T14:47:00Z</dcterms:modified>
</cp:coreProperties>
</file>