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6744CB">
        <w:trPr>
          <w:trHeight w:val="1437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760666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760666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760666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900DA7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78105</wp:posOffset>
                  </wp:positionV>
                  <wp:extent cx="1506220" cy="81940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44" cy="833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3D3F9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760666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</w:t>
            </w:r>
            <w:r w:rsidR="00E8214C">
              <w:rPr>
                <w:rFonts w:ascii="Arial" w:hAnsi="Arial"/>
              </w:rPr>
              <w:t>*</w:t>
            </w:r>
            <w:r>
              <w:rPr>
                <w:rFonts w:ascii="Arial" w:hAnsi="Arial"/>
              </w:rPr>
              <w:t>r</w:t>
            </w:r>
            <w:r>
              <w:t xml:space="preserve">: </w:t>
            </w:r>
            <w:r w:rsidR="00760666">
              <w:t xml:space="preserve">                                                                                                                    </w:t>
            </w:r>
            <w:r w:rsidR="00760666" w:rsidRPr="00760666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3D3F92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3D3F92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A42EED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2EED">
              <w:rPr>
                <w:rFonts w:ascii="Arial" w:hAnsi="Arial" w:cs="Arial"/>
                <w:b/>
                <w:sz w:val="32"/>
                <w:szCs w:val="32"/>
              </w:rPr>
              <w:t>Schwefelsäure</w:t>
            </w:r>
          </w:p>
        </w:tc>
      </w:tr>
      <w:tr w:rsidR="00BC592D" w:rsidTr="003D3F9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3D3F92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A42EED" w:rsidTr="003D3F92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42EED" w:rsidRDefault="00900DA7" w:rsidP="003D3F9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632460" cy="6324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GHS02"/>
            <w:bookmarkStart w:id="1" w:name="GHS03"/>
            <w:bookmarkEnd w:id="0"/>
            <w:bookmarkEnd w:id="1"/>
          </w:p>
          <w:p w:rsidR="00A42EED" w:rsidRDefault="00A42EED" w:rsidP="003D3F92">
            <w:pPr>
              <w:pStyle w:val="Zeichnung"/>
              <w:spacing w:before="0" w:after="0"/>
              <w:rPr>
                <w:b/>
                <w:sz w:val="18"/>
              </w:rPr>
            </w:pPr>
            <w:bookmarkStart w:id="2" w:name="GHS_SIGNALWORT"/>
            <w:bookmarkEnd w:id="2"/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D3F92" w:rsidRDefault="00A42EED" w:rsidP="00A42EED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 </w:t>
            </w:r>
            <w:r w:rsidR="003D3F92" w:rsidRPr="003D3F92">
              <w:rPr>
                <w:b/>
                <w:sz w:val="18"/>
              </w:rPr>
              <w:t>Kann gegenüber Metallen korrosiv sein.</w:t>
            </w:r>
            <w:r w:rsidR="003D3F92" w:rsidRPr="003D3F92">
              <w:rPr>
                <w:sz w:val="18"/>
              </w:rPr>
              <w:t xml:space="preserve"> (H290)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D3F92">
              <w:rPr>
                <w:b/>
                <w:sz w:val="18"/>
              </w:rPr>
              <w:t>Verursacht schwere Verätzungen der Haut und schwere Augenschäden.</w:t>
            </w:r>
            <w:r w:rsidRPr="003D3F92">
              <w:rPr>
                <w:sz w:val="18"/>
              </w:rPr>
              <w:t xml:space="preserve"> (H314)</w:t>
            </w:r>
          </w:p>
          <w:p w:rsidR="00A42EED" w:rsidRDefault="003D3F92" w:rsidP="00A42EED">
            <w:pPr>
              <w:pStyle w:val="TextBlockLeft"/>
              <w:ind w:left="160" w:hanging="160"/>
            </w:pPr>
            <w:r>
              <w:rPr>
                <w:sz w:val="18"/>
              </w:rPr>
              <w:t xml:space="preserve">-  </w:t>
            </w:r>
            <w:r w:rsidR="00A42EED">
              <w:rPr>
                <w:sz w:val="18"/>
              </w:rPr>
              <w:t>Ein</w:t>
            </w:r>
            <w:r w:rsidR="00A42EED">
              <w:rPr>
                <w:sz w:val="18"/>
              </w:rPr>
              <w:softHyphen/>
              <w:t>atmen, Ver</w:t>
            </w:r>
            <w:r w:rsidR="00A42EED">
              <w:rPr>
                <w:sz w:val="18"/>
              </w:rPr>
              <w:softHyphen/>
              <w:t>schlucken oder Haut</w:t>
            </w:r>
            <w:r w:rsidR="00A42EED">
              <w:rPr>
                <w:sz w:val="18"/>
              </w:rPr>
              <w:softHyphen/>
              <w:t>kon</w:t>
            </w:r>
            <w:r w:rsidR="00A42EED">
              <w:rPr>
                <w:sz w:val="18"/>
              </w:rPr>
              <w:softHyphen/>
              <w:t>takt kann zu Ge</w:t>
            </w:r>
            <w:r w:rsidR="00A42EED">
              <w:rPr>
                <w:sz w:val="18"/>
              </w:rPr>
              <w:softHyphen/>
              <w:t>sund</w:t>
            </w:r>
            <w:r w:rsidR="00A42EED">
              <w:rPr>
                <w:sz w:val="18"/>
              </w:rPr>
              <w:softHyphen/>
              <w:t>heits</w:t>
            </w:r>
            <w:r w:rsidR="00A42EED">
              <w:rPr>
                <w:sz w:val="18"/>
              </w:rPr>
              <w:softHyphen/>
              <w:t>schä</w:t>
            </w:r>
            <w:r w:rsidR="00A42EED">
              <w:rPr>
                <w:sz w:val="18"/>
              </w:rPr>
              <w:softHyphen/>
              <w:t>den führen. Ein</w:t>
            </w:r>
            <w:r w:rsidR="00A42EED">
              <w:rPr>
                <w:sz w:val="18"/>
              </w:rPr>
              <w:softHyphen/>
              <w:t>atmen der Dämpfe/Aero</w:t>
            </w:r>
            <w:r w:rsidR="00A42EED">
              <w:rPr>
                <w:sz w:val="18"/>
              </w:rPr>
              <w:softHyphen/>
              <w:t>sole kann auch noch nach Stun</w:t>
            </w:r>
            <w:r w:rsidR="00A42EED">
              <w:rPr>
                <w:sz w:val="18"/>
              </w:rPr>
              <w:softHyphen/>
              <w:t>den zu einem töd</w:t>
            </w:r>
            <w:r w:rsidR="00A42EED">
              <w:rPr>
                <w:sz w:val="18"/>
              </w:rPr>
              <w:softHyphen/>
              <w:t>lichen Lungen</w:t>
            </w:r>
            <w:r w:rsidR="00A42EED">
              <w:rPr>
                <w:sz w:val="18"/>
              </w:rPr>
              <w:softHyphen/>
              <w:t>ödem füh</w:t>
            </w:r>
            <w:r w:rsidR="00A42EED">
              <w:rPr>
                <w:sz w:val="18"/>
              </w:rPr>
              <w:softHyphen/>
              <w:t>ren. Säure</w:t>
            </w:r>
            <w:r w:rsidR="00A42EED">
              <w:rPr>
                <w:sz w:val="18"/>
              </w:rPr>
              <w:softHyphen/>
              <w:t>dämpfe können Zahn</w:t>
            </w:r>
            <w:r w:rsidR="00A42EED">
              <w:rPr>
                <w:sz w:val="18"/>
              </w:rPr>
              <w:softHyphen/>
              <w:t>erosion her</w:t>
            </w:r>
            <w:r w:rsidR="00A42EED">
              <w:rPr>
                <w:sz w:val="18"/>
              </w:rPr>
              <w:softHyphen/>
              <w:t>vor</w:t>
            </w:r>
            <w:r w:rsidR="00A42EED">
              <w:rPr>
                <w:sz w:val="18"/>
              </w:rPr>
              <w:softHyphen/>
              <w:t xml:space="preserve">rufen. </w:t>
            </w:r>
          </w:p>
          <w:p w:rsidR="003D3F92" w:rsidRDefault="00A42EED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Rea</w:t>
            </w:r>
            <w:r>
              <w:rPr>
                <w:sz w:val="18"/>
              </w:rPr>
              <w:softHyphen/>
              <w:t>giert un</w:t>
            </w:r>
            <w:r>
              <w:rPr>
                <w:sz w:val="18"/>
              </w:rPr>
              <w:softHyphen/>
              <w:t>ter hef</w:t>
            </w:r>
            <w:r>
              <w:rPr>
                <w:sz w:val="18"/>
              </w:rPr>
              <w:softHyphen/>
              <w:t>tiger Wärme</w:t>
            </w:r>
            <w:r>
              <w:rPr>
                <w:sz w:val="18"/>
              </w:rPr>
              <w:softHyphen/>
              <w:t xml:space="preserve">entwicklung z.B. </w:t>
            </w:r>
            <w:r w:rsidR="00BE69E6">
              <w:rPr>
                <w:sz w:val="18"/>
              </w:rPr>
              <w:t>mit star</w:t>
            </w:r>
            <w:r w:rsidR="00BE69E6">
              <w:rPr>
                <w:sz w:val="18"/>
              </w:rPr>
              <w:softHyphen/>
              <w:t>ken Oxi</w:t>
            </w:r>
            <w:r w:rsidR="00BE69E6">
              <w:rPr>
                <w:sz w:val="18"/>
              </w:rPr>
              <w:softHyphen/>
              <w:t>dations</w:t>
            </w:r>
            <w:r w:rsidR="00BE69E6">
              <w:rPr>
                <w:sz w:val="18"/>
              </w:rPr>
              <w:softHyphen/>
              <w:t xml:space="preserve">mitteln, Laugen, </w:t>
            </w:r>
            <w:r>
              <w:rPr>
                <w:sz w:val="18"/>
              </w:rPr>
              <w:t>Wasser, Alkali- und Halogen</w:t>
            </w:r>
            <w:r>
              <w:rPr>
                <w:sz w:val="18"/>
              </w:rPr>
              <w:softHyphen/>
            </w:r>
            <w:r w:rsidR="003D3F92">
              <w:rPr>
                <w:sz w:val="18"/>
              </w:rPr>
              <w:t>verbin</w:t>
            </w:r>
            <w:r w:rsidR="003D3F92">
              <w:rPr>
                <w:sz w:val="18"/>
              </w:rPr>
              <w:softHyphen/>
              <w:t>dungen sowie Per</w:t>
            </w:r>
            <w:r w:rsidR="003D3F92">
              <w:rPr>
                <w:sz w:val="18"/>
              </w:rPr>
              <w:softHyphen/>
              <w:t>oxiden.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sz w:val="18"/>
              </w:rPr>
              <w:t>Konzentrierte Schwefelsäure reagiert unter heftiger Wärmeentwicklung mit zahlreichen organischen Substanzen (z.B. auch Lösemitteln) und Naturprodukten (z.B. Wolle, Papier, Zucker). Bei unkon</w:t>
            </w:r>
            <w:r w:rsidR="00A42EED">
              <w:rPr>
                <w:sz w:val="18"/>
              </w:rPr>
              <w:softHyphen/>
              <w:t>trollierter Reak</w:t>
            </w:r>
            <w:r w:rsidR="00A42EED">
              <w:rPr>
                <w:sz w:val="18"/>
              </w:rPr>
              <w:softHyphen/>
              <w:t>tion besteht Explo</w:t>
            </w:r>
            <w:r w:rsidR="00A42EED">
              <w:rPr>
                <w:sz w:val="18"/>
              </w:rPr>
              <w:softHyphen/>
              <w:t>sions</w:t>
            </w:r>
            <w:r w:rsidR="00A42EED">
              <w:rPr>
                <w:sz w:val="18"/>
              </w:rPr>
              <w:softHyphen/>
              <w:t xml:space="preserve">gefahr. 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sz w:val="18"/>
              </w:rPr>
              <w:t>Bil</w:t>
            </w:r>
            <w:r w:rsidR="00A42EED">
              <w:rPr>
                <w:sz w:val="18"/>
              </w:rPr>
              <w:softHyphen/>
              <w:t>det mit Aluminium oder unedlen Metallen ge</w:t>
            </w:r>
            <w:r w:rsidR="00A42EED">
              <w:rPr>
                <w:sz w:val="18"/>
              </w:rPr>
              <w:softHyphen/>
              <w:t>fähr</w:t>
            </w:r>
            <w:r w:rsidR="00A42EED">
              <w:rPr>
                <w:sz w:val="18"/>
              </w:rPr>
              <w:softHyphen/>
              <w:t>liche Ga</w:t>
            </w:r>
            <w:r w:rsidR="00A42EED">
              <w:rPr>
                <w:sz w:val="18"/>
              </w:rPr>
              <w:softHyphen/>
              <w:t>se und Dämpfe (Wasser</w:t>
            </w:r>
            <w:r w:rsidR="00A42EED">
              <w:rPr>
                <w:sz w:val="18"/>
              </w:rPr>
              <w:softHyphen/>
              <w:t xml:space="preserve">stoff). 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sz w:val="18"/>
              </w:rPr>
              <w:t>Bil</w:t>
            </w:r>
            <w:r w:rsidR="00A42EED">
              <w:rPr>
                <w:sz w:val="18"/>
              </w:rPr>
              <w:softHyphen/>
              <w:t>det mit Kupfer, Queck</w:t>
            </w:r>
            <w:r w:rsidR="00A42EED">
              <w:rPr>
                <w:sz w:val="18"/>
              </w:rPr>
              <w:softHyphen/>
              <w:t>silber, Silber, Kohlen</w:t>
            </w:r>
            <w:r w:rsidR="00A42EED">
              <w:rPr>
                <w:sz w:val="18"/>
              </w:rPr>
              <w:softHyphen/>
              <w:t>stoff und Schwefel ge</w:t>
            </w:r>
            <w:r w:rsidR="00A42EED">
              <w:rPr>
                <w:sz w:val="18"/>
              </w:rPr>
              <w:softHyphen/>
              <w:t>fähr</w:t>
            </w:r>
            <w:r w:rsidR="00A42EED">
              <w:rPr>
                <w:sz w:val="18"/>
              </w:rPr>
              <w:softHyphen/>
              <w:t>liche Ga</w:t>
            </w:r>
            <w:r w:rsidR="00A42EED">
              <w:rPr>
                <w:sz w:val="18"/>
              </w:rPr>
              <w:softHyphen/>
              <w:t>se und Dämpfe (Schwefel</w:t>
            </w:r>
            <w:r w:rsidR="00A42EED">
              <w:rPr>
                <w:sz w:val="18"/>
              </w:rPr>
              <w:softHyphen/>
              <w:t xml:space="preserve">dioxid). 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D3F92">
              <w:rPr>
                <w:sz w:val="18"/>
              </w:rPr>
              <w:t xml:space="preserve">Reagiert unter Bildung brennbarer Gase oder Dämpfe z.B. mit zahlreichen organischen Substanzen. </w:t>
            </w:r>
          </w:p>
          <w:p w:rsidR="00A42EED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Pr="003D3F92">
              <w:rPr>
                <w:sz w:val="18"/>
              </w:rPr>
              <w:t>Zersetzt sich bei Erhitzen/Verbrennen in gefährliche Gase (z.B. Schwefeloxide).</w:t>
            </w:r>
          </w:p>
          <w:p w:rsidR="00A42EED" w:rsidRDefault="00A42EED" w:rsidP="003D3F92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3F92">
              <w:rPr>
                <w:sz w:val="18"/>
              </w:rPr>
              <w:t xml:space="preserve">Wassergefährdungsklasse (WGK): </w:t>
            </w:r>
            <w:r>
              <w:rPr>
                <w:sz w:val="18"/>
              </w:rPr>
              <w:t>1 (schwach wassergefährdend)</w:t>
            </w:r>
            <w:bookmarkStart w:id="4" w:name="GHS06"/>
            <w:bookmarkEnd w:id="4"/>
          </w:p>
        </w:tc>
      </w:tr>
      <w:tr w:rsidR="00826E4E" w:rsidTr="003D3F9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3D3F92">
        <w:trPr>
          <w:trHeight w:val="1851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A42EED" w:rsidRDefault="003D3F92" w:rsidP="003D3F92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inline distT="0" distB="0" distL="0" distR="0" wp14:anchorId="25402C6D" wp14:editId="29F519FB">
                  <wp:extent cx="480060" cy="480060"/>
                  <wp:effectExtent l="0" t="0" r="0" b="0"/>
                  <wp:docPr id="183" name="Bild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DA7"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71" name="Bild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900DA7" w:rsidP="003D3F92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272" name="Bild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3D3F92" w:rsidRDefault="00A42EED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3F92" w:rsidRPr="003D3F92">
              <w:rPr>
                <w:sz w:val="18"/>
              </w:rPr>
              <w:t>Einatmen von Dämpfen und Aerosolen vermeiden! Berührung mit Augen, Haut und Kleidung vermeiden!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8F1E3A">
              <w:rPr>
                <w:sz w:val="18"/>
              </w:rPr>
              <w:t xml:space="preserve">Im Abzug arbeiten und Frontschieber geschlossen halten. </w:t>
            </w:r>
            <w:r w:rsidRPr="003D3F92">
              <w:rPr>
                <w:sz w:val="18"/>
              </w:rPr>
              <w:t>Bildung von Dämpfen oder Nebeln vermeiden</w:t>
            </w:r>
            <w:r>
              <w:rPr>
                <w:sz w:val="18"/>
              </w:rPr>
              <w:t xml:space="preserve">, 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sz w:val="18"/>
              </w:rPr>
              <w:t>Ge</w:t>
            </w:r>
            <w:r w:rsidR="00A42EED">
              <w:rPr>
                <w:sz w:val="18"/>
              </w:rPr>
              <w:softHyphen/>
              <w:t>fäße nicht offen ste</w:t>
            </w:r>
            <w:r w:rsidR="00A42EED">
              <w:rPr>
                <w:sz w:val="18"/>
              </w:rPr>
              <w:softHyphen/>
              <w:t>hen las</w:t>
            </w:r>
            <w:r w:rsidR="00A42EED">
              <w:rPr>
                <w:sz w:val="18"/>
              </w:rPr>
              <w:softHyphen/>
            </w:r>
            <w:r>
              <w:rPr>
                <w:sz w:val="18"/>
              </w:rPr>
              <w:t xml:space="preserve">sen. Reaktionsfähige Stoffe </w:t>
            </w:r>
            <w:proofErr w:type="gramStart"/>
            <w:r>
              <w:rPr>
                <w:sz w:val="18"/>
              </w:rPr>
              <w:t>fern halten</w:t>
            </w:r>
            <w:proofErr w:type="gramEnd"/>
            <w:r>
              <w:rPr>
                <w:sz w:val="18"/>
              </w:rPr>
              <w:t xml:space="preserve"> bzw. nur kontrolliert zugeben.</w:t>
            </w:r>
          </w:p>
          <w:p w:rsidR="00A42EED" w:rsidRP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475F91">
              <w:rPr>
                <w:sz w:val="18"/>
              </w:rPr>
              <w:t xml:space="preserve">Beim </w:t>
            </w:r>
            <w:r w:rsidR="00A42EED">
              <w:rPr>
                <w:sz w:val="18"/>
              </w:rPr>
              <w:t>Verdünnen immer zuerst das Wasser und dann die Säure zuge</w:t>
            </w:r>
            <w:r w:rsidR="00475F91">
              <w:rPr>
                <w:sz w:val="18"/>
              </w:rPr>
              <w:t xml:space="preserve">ben! Temperatur kontrollieren! </w:t>
            </w:r>
            <w:r>
              <w:rPr>
                <w:sz w:val="18"/>
              </w:rPr>
              <w:t>Säurebeständige Hilfsgeräte verwenden.</w:t>
            </w:r>
            <w:r w:rsidR="00A42EED">
              <w:rPr>
                <w:sz w:val="18"/>
              </w:rPr>
              <w:t xml:space="preserve"> </w:t>
            </w:r>
          </w:p>
          <w:p w:rsidR="003D3F92" w:rsidRDefault="00A42EED" w:rsidP="003D3F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3D3F92" w:rsidRPr="003D3F92">
              <w:rPr>
                <w:sz w:val="18"/>
              </w:rPr>
              <w:t>Behälter dicht gesc</w:t>
            </w:r>
            <w:r w:rsidR="003D3F92">
              <w:rPr>
                <w:sz w:val="18"/>
              </w:rPr>
              <w:t>hlossen an einem kühlen, gut ge</w:t>
            </w:r>
            <w:r w:rsidR="003D3F92" w:rsidRPr="003D3F92">
              <w:rPr>
                <w:sz w:val="18"/>
              </w:rPr>
              <w:t>lüfteten Ort lagern. Vor Feuchtigkeit und Wasser schützen. Behälter aus z.B. G</w:t>
            </w:r>
            <w:r w:rsidR="003D3F92">
              <w:rPr>
                <w:sz w:val="18"/>
              </w:rPr>
              <w:t>las, Keramik, Polyethylen, Poly</w:t>
            </w:r>
            <w:r w:rsidR="003D3F92" w:rsidRPr="003D3F92">
              <w:rPr>
                <w:sz w:val="18"/>
              </w:rPr>
              <w:t>propylen und rostfreiem Stahl sind geeignet. Bei Lagerung in Glasflaschen zusätzliche Sicherung gegen Flaschenbruch durch Einstellen in bruchsichere und resistente Übergefäße</w:t>
            </w:r>
            <w:bookmarkStart w:id="6" w:name="TB110"/>
            <w:bookmarkEnd w:id="6"/>
            <w:r w:rsidR="003D3F92">
              <w:rPr>
                <w:sz w:val="18"/>
              </w:rPr>
              <w:t>.</w:t>
            </w:r>
          </w:p>
          <w:p w:rsidR="003D3F92" w:rsidRDefault="003D3F92" w:rsidP="003D3F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b/>
                <w:bCs/>
                <w:sz w:val="18"/>
              </w:rPr>
              <w:t>Augenschutz</w:t>
            </w:r>
            <w:r>
              <w:rPr>
                <w:b/>
                <w:bCs/>
                <w:sz w:val="18"/>
              </w:rPr>
              <w:t xml:space="preserve"> tragen</w:t>
            </w:r>
            <w:r w:rsidR="00A42EED">
              <w:rPr>
                <w:b/>
                <w:bCs/>
                <w:sz w:val="18"/>
              </w:rPr>
              <w:t xml:space="preserve">: </w:t>
            </w:r>
            <w:r w:rsidR="00A42EED">
              <w:rPr>
                <w:sz w:val="18"/>
              </w:rPr>
              <w:t>Korb</w:t>
            </w:r>
            <w:r w:rsidR="00A42EED">
              <w:rPr>
                <w:sz w:val="18"/>
              </w:rPr>
              <w:softHyphen/>
              <w:t>brille! Bei Gefähr</w:t>
            </w:r>
            <w:r w:rsidR="00A42EED">
              <w:rPr>
                <w:sz w:val="18"/>
              </w:rPr>
              <w:softHyphen/>
              <w:t>dung des Ge</w:t>
            </w:r>
            <w:r w:rsidR="00A42EED">
              <w:rPr>
                <w:sz w:val="18"/>
              </w:rPr>
              <w:softHyphen/>
              <w:t>sichts durch Spritz</w:t>
            </w:r>
            <w:r w:rsidR="00A42EED">
              <w:rPr>
                <w:sz w:val="18"/>
              </w:rPr>
              <w:softHyphen/>
              <w:t>gefahr: zusätzlich Schutz</w:t>
            </w:r>
            <w:r w:rsidR="00A42EED">
              <w:rPr>
                <w:sz w:val="18"/>
              </w:rPr>
              <w:softHyphen/>
              <w:t xml:space="preserve">schirm. </w:t>
            </w:r>
          </w:p>
          <w:p w:rsidR="003D3F92" w:rsidRDefault="003D3F92" w:rsidP="003D3F92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A42EED">
              <w:rPr>
                <w:b/>
                <w:bCs/>
                <w:sz w:val="18"/>
              </w:rPr>
              <w:t>Handschutz</w:t>
            </w:r>
            <w:r>
              <w:rPr>
                <w:b/>
                <w:bCs/>
                <w:sz w:val="18"/>
              </w:rPr>
              <w:t xml:space="preserve"> tragen</w:t>
            </w:r>
            <w:r w:rsidR="00A42EED">
              <w:rPr>
                <w:b/>
                <w:bCs/>
                <w:sz w:val="18"/>
              </w:rPr>
              <w:t xml:space="preserve">: </w:t>
            </w:r>
            <w:r w:rsidR="00A42EED">
              <w:rPr>
                <w:sz w:val="18"/>
              </w:rPr>
              <w:t xml:space="preserve">Handschuhe aus: </w:t>
            </w:r>
            <w:r w:rsidR="00A42EED" w:rsidRPr="00A42EED">
              <w:rPr>
                <w:sz w:val="18"/>
              </w:rPr>
              <w:t>Fluorkautschuk (FKM; 0,7 mm)</w:t>
            </w:r>
            <w:r w:rsidR="006744CB">
              <w:rPr>
                <w:sz w:val="18"/>
              </w:rPr>
              <w:t>, Butylkautschuk (Butyl; 0,5 mm).</w:t>
            </w:r>
          </w:p>
          <w:p w:rsidR="00826E4E" w:rsidRPr="003D3F92" w:rsidRDefault="003D3F92" w:rsidP="006744CB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>
              <w:rPr>
                <w:b/>
                <w:bCs/>
                <w:sz w:val="18"/>
              </w:rPr>
              <w:t>Schutzkleidung tragen</w:t>
            </w:r>
            <w:r w:rsidR="00A42EED">
              <w:rPr>
                <w:b/>
                <w:bCs/>
                <w:sz w:val="18"/>
              </w:rPr>
              <w:t xml:space="preserve">: </w:t>
            </w:r>
            <w:r>
              <w:rPr>
                <w:bCs/>
                <w:sz w:val="18"/>
              </w:rPr>
              <w:t xml:space="preserve">Laborkittel. </w:t>
            </w:r>
            <w:r w:rsidR="00A42EED">
              <w:rPr>
                <w:sz w:val="18"/>
              </w:rPr>
              <w:t xml:space="preserve">Beim Umgang mit größeren Mengen: PVC-beschichtete </w:t>
            </w:r>
            <w:r w:rsidR="006744CB">
              <w:rPr>
                <w:sz w:val="18"/>
              </w:rPr>
              <w:t>Gewebe.</w:t>
            </w:r>
            <w:r w:rsidR="00A42EED">
              <w:rPr>
                <w:sz w:val="18"/>
              </w:rPr>
              <w:t xml:space="preserve"> </w:t>
            </w:r>
            <w:bookmarkStart w:id="7" w:name="TB110a"/>
            <w:bookmarkEnd w:id="7"/>
          </w:p>
        </w:tc>
      </w:tr>
      <w:tr w:rsidR="00826E4E" w:rsidTr="003D3F9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3D3F9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3D3F92" w:rsidTr="003D3F92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3D3F92" w:rsidRDefault="003D3F92" w:rsidP="00A42EED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</w:t>
            </w:r>
            <w:r w:rsidR="008457D2">
              <w:rPr>
                <w:sz w:val="18"/>
              </w:rPr>
              <w:t>*</w:t>
            </w:r>
            <w:r>
              <w:rPr>
                <w:sz w:val="18"/>
              </w:rPr>
              <w:t>n informieren.</w:t>
            </w:r>
          </w:p>
          <w:p w:rsidR="003D3F92" w:rsidRDefault="003D3F92" w:rsidP="00A42EED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6744CB" w:rsidRPr="006744CB">
              <w:rPr>
                <w:b/>
                <w:sz w:val="18"/>
              </w:rPr>
              <w:t>Ausge</w:t>
            </w:r>
            <w:r w:rsidR="006744CB" w:rsidRPr="006744CB">
              <w:rPr>
                <w:b/>
                <w:sz w:val="18"/>
              </w:rPr>
              <w:softHyphen/>
              <w:t>lau</w:t>
            </w:r>
            <w:r w:rsidR="006744CB" w:rsidRPr="006744CB">
              <w:rPr>
                <w:b/>
                <w:sz w:val="18"/>
              </w:rPr>
              <w:softHyphen/>
              <w:t>fenes</w:t>
            </w:r>
            <w:r w:rsidRPr="006744CB">
              <w:rPr>
                <w:b/>
                <w:sz w:val="18"/>
              </w:rPr>
              <w:t>/ver</w:t>
            </w:r>
            <w:r w:rsidRPr="006744CB">
              <w:rPr>
                <w:b/>
                <w:sz w:val="18"/>
              </w:rPr>
              <w:softHyphen/>
            </w:r>
            <w:r w:rsidR="006744CB" w:rsidRPr="006744CB">
              <w:rPr>
                <w:b/>
                <w:sz w:val="18"/>
              </w:rPr>
              <w:t xml:space="preserve">schüttetes </w:t>
            </w:r>
            <w:r w:rsidRPr="006744CB">
              <w:rPr>
                <w:b/>
                <w:sz w:val="18"/>
              </w:rPr>
              <w:t>Produkt</w:t>
            </w:r>
            <w:r w:rsidR="006744CB">
              <w:rPr>
                <w:sz w:val="18"/>
              </w:rPr>
              <w:t>:</w:t>
            </w:r>
            <w:r>
              <w:rPr>
                <w:sz w:val="18"/>
              </w:rPr>
              <w:t xml:space="preserve">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Kombi</w:t>
            </w:r>
            <w:r>
              <w:rPr>
                <w:sz w:val="18"/>
              </w:rPr>
              <w:softHyphen/>
              <w:t>nations</w:t>
            </w:r>
            <w:r>
              <w:rPr>
                <w:sz w:val="18"/>
              </w:rPr>
              <w:softHyphen/>
              <w:t>filter B-P (grau/weiß)</w:t>
            </w:r>
            <w:r w:rsidR="006744CB">
              <w:rPr>
                <w:sz w:val="18"/>
              </w:rPr>
              <w:t>.</w:t>
            </w:r>
            <w:r>
              <w:rPr>
                <w:sz w:val="18"/>
              </w:rPr>
              <w:t xml:space="preserve">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</w:t>
            </w:r>
            <w:r w:rsidR="006744CB">
              <w:rPr>
                <w:sz w:val="18"/>
              </w:rPr>
              <w:t>nd) auf</w:t>
            </w:r>
            <w:r w:rsidR="006744CB">
              <w:rPr>
                <w:sz w:val="18"/>
              </w:rPr>
              <w:softHyphen/>
              <w:t>neh</w:t>
            </w:r>
            <w:r w:rsidR="006744CB">
              <w:rPr>
                <w:sz w:val="18"/>
              </w:rPr>
              <w:softHyphen/>
              <w:t>men und ent</w:t>
            </w:r>
            <w:r w:rsidR="006744CB">
              <w:rPr>
                <w:sz w:val="18"/>
              </w:rPr>
              <w:softHyphen/>
              <w:t>sor</w:t>
            </w:r>
            <w:r w:rsidR="006744CB">
              <w:rPr>
                <w:sz w:val="18"/>
              </w:rPr>
              <w:softHyphen/>
              <w:t>gen.</w:t>
            </w:r>
            <w:r>
              <w:rPr>
                <w:sz w:val="18"/>
              </w:rPr>
              <w:t xml:space="preserve"> Alternativ: Nach Verdünnen mit Wasser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Kalkstein</w:t>
            </w:r>
            <w:r>
              <w:rPr>
                <w:sz w:val="18"/>
              </w:rPr>
              <w:softHyphen/>
              <w:t>mehl, Carbo</w:t>
            </w:r>
            <w:r>
              <w:rPr>
                <w:sz w:val="18"/>
              </w:rPr>
              <w:softHyphen/>
              <w:t xml:space="preserve">naten) </w:t>
            </w:r>
            <w:proofErr w:type="spellStart"/>
            <w:r>
              <w:rPr>
                <w:sz w:val="18"/>
              </w:rPr>
              <w:t>ab</w:t>
            </w:r>
            <w:r>
              <w:rPr>
                <w:sz w:val="18"/>
              </w:rPr>
              <w:softHyphen/>
              <w:t>streuen</w:t>
            </w:r>
            <w:proofErr w:type="spellEnd"/>
            <w:r>
              <w:rPr>
                <w:sz w:val="18"/>
              </w:rPr>
              <w:t>, nach Been</w:t>
            </w:r>
            <w:r>
              <w:rPr>
                <w:sz w:val="18"/>
              </w:rPr>
              <w:softHyphen/>
              <w:t>digung der Reaktion Rück</w:t>
            </w:r>
            <w:r>
              <w:rPr>
                <w:sz w:val="18"/>
              </w:rPr>
              <w:softHyphen/>
              <w:t>stände sorg</w:t>
            </w:r>
            <w:r>
              <w:rPr>
                <w:sz w:val="18"/>
              </w:rPr>
              <w:softHyphen/>
              <w:t>fältig mechanisch auf</w:t>
            </w:r>
            <w:r>
              <w:rPr>
                <w:sz w:val="18"/>
              </w:rPr>
              <w:softHyphen/>
              <w:t>nehmen, mit viel Was</w:t>
            </w:r>
            <w:r>
              <w:rPr>
                <w:sz w:val="18"/>
              </w:rPr>
              <w:softHyphen/>
              <w:t>ser nach</w:t>
            </w:r>
            <w:r>
              <w:rPr>
                <w:sz w:val="18"/>
              </w:rPr>
              <w:softHyphen/>
              <w:t xml:space="preserve">spülen. Säure auf keinen Fall mit z.B. Putzlappen, Zellstoff, Sägespänen zusammenbringen. </w:t>
            </w:r>
          </w:p>
          <w:p w:rsidR="006744CB" w:rsidRDefault="003D3F92" w:rsidP="00900DA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6744CB" w:rsidRPr="006744CB">
              <w:rPr>
                <w:b/>
                <w:sz w:val="18"/>
              </w:rPr>
              <w:t>Im Brandfall</w:t>
            </w:r>
            <w:r w:rsidR="006744CB">
              <w:rPr>
                <w:sz w:val="18"/>
              </w:rPr>
              <w:t xml:space="preserve">: </w:t>
            </w:r>
            <w:r>
              <w:rPr>
                <w:sz w:val="18"/>
              </w:rPr>
              <w:t>Pro</w:t>
            </w:r>
            <w:r>
              <w:rPr>
                <w:sz w:val="18"/>
              </w:rPr>
              <w:softHyphen/>
              <w:t>dukt ist nicht brenn</w:t>
            </w:r>
            <w:r>
              <w:rPr>
                <w:sz w:val="18"/>
              </w:rPr>
              <w:softHyphen/>
              <w:t>bar</w:t>
            </w:r>
            <w:r w:rsidR="006744CB">
              <w:rPr>
                <w:sz w:val="18"/>
              </w:rPr>
              <w:t>, Löschmaßnahmen auf Umgebung abstimmen</w:t>
            </w:r>
            <w:r>
              <w:rPr>
                <w:sz w:val="18"/>
              </w:rPr>
              <w:t>.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 xml:space="preserve">liche </w:t>
            </w:r>
            <w:r w:rsidR="006744CB">
              <w:rPr>
                <w:sz w:val="18"/>
              </w:rPr>
              <w:t>Gase/Dämpfe (z.B. Schwefel</w:t>
            </w:r>
            <w:r w:rsidR="006744CB">
              <w:rPr>
                <w:sz w:val="18"/>
              </w:rPr>
              <w:softHyphen/>
              <w:t xml:space="preserve">oxide). </w:t>
            </w:r>
            <w:proofErr w:type="spellStart"/>
            <w:r w:rsidR="006744CB">
              <w:rPr>
                <w:sz w:val="18"/>
              </w:rPr>
              <w:t>Berstgefahr</w:t>
            </w:r>
            <w:proofErr w:type="spellEnd"/>
            <w:r w:rsidR="006744CB">
              <w:rPr>
                <w:sz w:val="18"/>
              </w:rPr>
              <w:t xml:space="preserve"> bei Erwärmung.</w:t>
            </w:r>
          </w:p>
          <w:p w:rsidR="003D3F92" w:rsidRPr="00826B1C" w:rsidRDefault="006744CB" w:rsidP="00900DA7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  <w:r w:rsidR="003D3F92">
              <w:rPr>
                <w:sz w:val="18"/>
              </w:rPr>
              <w:t xml:space="preserve">   </w:t>
            </w:r>
            <w:bookmarkStart w:id="8" w:name="TB120"/>
            <w:bookmarkEnd w:id="8"/>
            <w:r w:rsidR="003D3F92" w:rsidRPr="00826B1C">
              <w:t xml:space="preserve"> </w:t>
            </w:r>
          </w:p>
        </w:tc>
      </w:tr>
      <w:tr w:rsidR="00826E4E" w:rsidTr="003D3F92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3D3F9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3D3F92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6744CB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6744CB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2" o:title=""/>
                </v:shape>
                <o:OLEObject Type="Embed" ProgID="PBrush" ShapeID="_x0000_i1025" DrawAspect="Content" ObjectID="_1768053389" r:id="rId13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A42EED" w:rsidRPr="006744CB" w:rsidRDefault="00A42EED" w:rsidP="00A42EED">
            <w:pPr>
              <w:pStyle w:val="TextBlockLeft"/>
            </w:pPr>
            <w:bookmarkStart w:id="9" w:name="TB130"/>
            <w:bookmarkEnd w:id="9"/>
            <w:r w:rsidRPr="006744CB">
              <w:rPr>
                <w:bCs/>
                <w:sz w:val="18"/>
              </w:rPr>
              <w:t>Selbstschutz be</w:t>
            </w:r>
            <w:r w:rsidR="006744CB" w:rsidRPr="006744CB">
              <w:rPr>
                <w:bCs/>
                <w:sz w:val="18"/>
              </w:rPr>
              <w:t>achten, Vorgesetz</w:t>
            </w:r>
            <w:r w:rsidR="00625A5F">
              <w:rPr>
                <w:bCs/>
                <w:sz w:val="18"/>
              </w:rPr>
              <w:t>t</w:t>
            </w:r>
            <w:r w:rsidR="006744CB" w:rsidRPr="006744CB">
              <w:rPr>
                <w:bCs/>
                <w:sz w:val="18"/>
              </w:rPr>
              <w:t>e</w:t>
            </w:r>
            <w:r w:rsidR="008457D2">
              <w:rPr>
                <w:bCs/>
                <w:sz w:val="18"/>
              </w:rPr>
              <w:t>*</w:t>
            </w:r>
            <w:r w:rsidR="006744CB" w:rsidRPr="006744CB">
              <w:rPr>
                <w:bCs/>
                <w:sz w:val="18"/>
              </w:rPr>
              <w:t>n informieren.</w:t>
            </w:r>
          </w:p>
          <w:p w:rsidR="00A42EED" w:rsidRDefault="00A42EED" w:rsidP="00A42EED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6744CB">
              <w:rPr>
                <w:sz w:val="18"/>
              </w:rPr>
              <w:t>Steriler Schutzverband. Augenärztliche Behandlung.</w:t>
            </w:r>
          </w:p>
          <w:p w:rsidR="00A42EED" w:rsidRDefault="00A42EED" w:rsidP="00A42EED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</w:t>
            </w:r>
            <w:r w:rsidR="006744CB">
              <w:rPr>
                <w:sz w:val="18"/>
              </w:rPr>
              <w:t>g</w:t>
            </w:r>
            <w:r>
              <w:rPr>
                <w:sz w:val="18"/>
              </w:rPr>
              <w:t xml:space="preserve">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ziehen. Haut mit viel Was</w:t>
            </w:r>
            <w:r>
              <w:rPr>
                <w:sz w:val="18"/>
              </w:rPr>
              <w:softHyphen/>
              <w:t xml:space="preserve">ser spülen. </w:t>
            </w:r>
            <w:r w:rsidR="006744CB">
              <w:rPr>
                <w:sz w:val="18"/>
              </w:rPr>
              <w:t>Ärztliche Behandlung.</w:t>
            </w:r>
          </w:p>
          <w:p w:rsidR="00A42EED" w:rsidRDefault="00A42EED" w:rsidP="00A42EED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</w:t>
            </w:r>
            <w:r w:rsidR="008457D2">
              <w:rPr>
                <w:sz w:val="18"/>
              </w:rPr>
              <w:t>*</w:t>
            </w:r>
            <w:r>
              <w:rPr>
                <w:sz w:val="18"/>
              </w:rPr>
              <w:t>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475F91">
              <w:rPr>
                <w:sz w:val="18"/>
              </w:rPr>
              <w:t>Frischluftzufuhr</w:t>
            </w:r>
            <w:r w:rsidR="006744CB" w:rsidRPr="006744CB">
              <w:rPr>
                <w:sz w:val="18"/>
              </w:rPr>
              <w:t>. Bei Atemstillstand künstliche Beatmung nach Möglichkeit mit Beatmungsgerät</w:t>
            </w:r>
            <w:r w:rsidR="006744CB">
              <w:rPr>
                <w:sz w:val="18"/>
              </w:rPr>
              <w:t xml:space="preserve">. </w:t>
            </w:r>
            <w:r w:rsidR="00475F91">
              <w:rPr>
                <w:sz w:val="18"/>
              </w:rPr>
              <w:t>Ärztliche Behandlung (</w:t>
            </w:r>
            <w:r w:rsidR="006744CB">
              <w:rPr>
                <w:sz w:val="18"/>
              </w:rPr>
              <w:t>Unmittelbar nach Unfall</w:t>
            </w:r>
            <w:r>
              <w:rPr>
                <w:sz w:val="18"/>
              </w:rPr>
              <w:t>, auch bei feh</w:t>
            </w:r>
            <w:r>
              <w:rPr>
                <w:sz w:val="18"/>
              </w:rPr>
              <w:softHyphen/>
              <w:t>lenden Krank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 xml:space="preserve">zeichen, ein </w:t>
            </w:r>
            <w:proofErr w:type="spellStart"/>
            <w:r>
              <w:rPr>
                <w:sz w:val="18"/>
              </w:rPr>
              <w:t>inha</w:t>
            </w:r>
            <w:r>
              <w:rPr>
                <w:sz w:val="18"/>
              </w:rPr>
              <w:softHyphen/>
              <w:t>lati</w:t>
            </w:r>
            <w:r>
              <w:rPr>
                <w:sz w:val="18"/>
              </w:rPr>
              <w:softHyphen/>
              <w:t>ves</w:t>
            </w:r>
            <w:proofErr w:type="spellEnd"/>
            <w:r>
              <w:rPr>
                <w:sz w:val="18"/>
              </w:rPr>
              <w:t xml:space="preserve"> Ste</w:t>
            </w:r>
            <w:r>
              <w:rPr>
                <w:sz w:val="18"/>
              </w:rPr>
              <w:softHyphen/>
              <w:t>roid</w:t>
            </w:r>
            <w:r w:rsidR="006744CB">
              <w:rPr>
                <w:sz w:val="18"/>
              </w:rPr>
              <w:t xml:space="preserve"> (Do</w:t>
            </w:r>
            <w:r w:rsidR="006744CB">
              <w:rPr>
                <w:sz w:val="18"/>
              </w:rPr>
              <w:softHyphen/>
              <w:t>sier</w:t>
            </w:r>
            <w:r w:rsidR="006744CB">
              <w:rPr>
                <w:sz w:val="18"/>
              </w:rPr>
              <w:softHyphen/>
              <w:t>aerosol</w:t>
            </w:r>
            <w:r>
              <w:rPr>
                <w:sz w:val="18"/>
              </w:rPr>
              <w:t>) ein</w:t>
            </w:r>
            <w:r>
              <w:rPr>
                <w:sz w:val="18"/>
              </w:rPr>
              <w:softHyphen/>
              <w:t>atmen lassen.</w:t>
            </w:r>
            <w:r w:rsidR="00475F91">
              <w:rPr>
                <w:sz w:val="18"/>
              </w:rPr>
              <w:t>)</w:t>
            </w:r>
          </w:p>
          <w:p w:rsidR="00826E4E" w:rsidRDefault="00A42EED" w:rsidP="00900DA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>ken lassen.</w:t>
            </w:r>
            <w:r w:rsidR="006744CB">
              <w:rPr>
                <w:sz w:val="18"/>
              </w:rPr>
              <w:t xml:space="preserve"> Ärztliche Behandlung.</w:t>
            </w:r>
          </w:p>
        </w:tc>
      </w:tr>
      <w:tr w:rsidR="00826E4E" w:rsidTr="003D3F92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Pr="008E38C2" w:rsidRDefault="00826E4E" w:rsidP="008E38C2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  <w:bookmarkStart w:id="10" w:name="_GoBack"/>
            <w:bookmarkEnd w:id="10"/>
            <w:r w:rsidR="008E38C2">
              <w:tab/>
            </w:r>
          </w:p>
        </w:tc>
      </w:tr>
      <w:tr w:rsidR="00826E4E" w:rsidTr="003D3F92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Default="006744CB" w:rsidP="00A42EED">
            <w:pPr>
              <w:widowControl w:val="0"/>
              <w:spacing w:line="240" w:lineRule="exact"/>
              <w:rPr>
                <w:rFonts w:ascii="Arial" w:hAnsi="Arial"/>
              </w:rPr>
            </w:pPr>
            <w:r w:rsidRPr="006744CB">
              <w:rPr>
                <w:rFonts w:ascii="Arial" w:hAnsi="Arial"/>
              </w:rPr>
              <w:t>Bei kleinen Mengen: Rückstände vorsichtig in großen Wasserüberschuss ein</w:t>
            </w:r>
            <w:r>
              <w:rPr>
                <w:rFonts w:ascii="Arial" w:hAnsi="Arial"/>
              </w:rPr>
              <w:t>führen. Anschließend mit Natron</w:t>
            </w:r>
            <w:r w:rsidRPr="006744CB">
              <w:rPr>
                <w:rFonts w:ascii="Arial" w:hAnsi="Arial"/>
              </w:rPr>
              <w:t xml:space="preserve">lauge neutralisieren, pH-Wert kontrollieren </w:t>
            </w:r>
            <w:r w:rsidR="00826E4E"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3D3F92">
      <w:headerReference w:type="even" r:id="rId14"/>
      <w:headerReference w:type="default" r:id="rId15"/>
      <w:footerReference w:type="first" r:id="rId16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900DA7" w:rsidP="003D3F92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C7279D">
      <w:rPr>
        <w:rFonts w:ascii="Arial" w:hAnsi="Arial" w:cs="Arial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38C2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22502C"/>
    <w:rsid w:val="00373338"/>
    <w:rsid w:val="003D3F92"/>
    <w:rsid w:val="00475F91"/>
    <w:rsid w:val="0053157D"/>
    <w:rsid w:val="00625A5F"/>
    <w:rsid w:val="006744CB"/>
    <w:rsid w:val="00760666"/>
    <w:rsid w:val="00826B1C"/>
    <w:rsid w:val="00826E4E"/>
    <w:rsid w:val="008457D2"/>
    <w:rsid w:val="008E38C2"/>
    <w:rsid w:val="008F1E3A"/>
    <w:rsid w:val="00900DA7"/>
    <w:rsid w:val="00A42EED"/>
    <w:rsid w:val="00B547E0"/>
    <w:rsid w:val="00B94128"/>
    <w:rsid w:val="00BC592D"/>
    <w:rsid w:val="00BE69E6"/>
    <w:rsid w:val="00C7279D"/>
    <w:rsid w:val="00CA7B2C"/>
    <w:rsid w:val="00D96765"/>
    <w:rsid w:val="00E60ECD"/>
    <w:rsid w:val="00E8214C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4885AAC1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9</cp:revision>
  <cp:lastPrinted>2001-04-11T15:22:00Z</cp:lastPrinted>
  <dcterms:created xsi:type="dcterms:W3CDTF">2024-01-18T12:16:00Z</dcterms:created>
  <dcterms:modified xsi:type="dcterms:W3CDTF">2024-01-29T16:09:00Z</dcterms:modified>
</cp:coreProperties>
</file>