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AB69FB">
        <w:trPr>
          <w:trHeight w:val="1440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865661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Pr="00865661">
              <w:rPr>
                <w:rFonts w:ascii="Arial" w:hAnsi="Arial"/>
                <w:b w:val="0"/>
              </w:rPr>
              <w:t>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D21410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78105</wp:posOffset>
                  </wp:positionV>
                  <wp:extent cx="1482208" cy="806343"/>
                  <wp:effectExtent l="0" t="0" r="381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40" cy="810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AB69FB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865661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2B751C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865661">
              <w:t xml:space="preserve">                                                                                                                 </w:t>
            </w:r>
            <w:r w:rsidR="00865661" w:rsidRPr="00865661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AB69FB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AB69FB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CD71CE" w:rsidP="00F2647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sz w:val="28"/>
              </w:rPr>
              <w:t xml:space="preserve">Wasserstoffperoxid-Lösung 35 </w:t>
            </w:r>
            <w:r w:rsidR="00F2647C">
              <w:rPr>
                <w:rFonts w:ascii="Helvetica" w:hAnsi="Helvetica"/>
                <w:b/>
                <w:sz w:val="28"/>
              </w:rPr>
              <w:t xml:space="preserve">- 50 </w:t>
            </w:r>
            <w:r>
              <w:rPr>
                <w:rFonts w:ascii="Helvetica" w:hAnsi="Helvetica"/>
                <w:b/>
                <w:sz w:val="28"/>
              </w:rPr>
              <w:t>%</w:t>
            </w:r>
          </w:p>
        </w:tc>
      </w:tr>
      <w:tr w:rsidR="00BC592D" w:rsidTr="00AB69FB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AB69F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CD71CE" w:rsidTr="00AB69FB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D71CE" w:rsidRDefault="00D21410" w:rsidP="00AB69FB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1CE" w:rsidRDefault="00D21410" w:rsidP="00AB69FB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1CE" w:rsidRDefault="00D21410" w:rsidP="00AB69FB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518160" cy="51816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1CE" w:rsidRDefault="00CD71CE" w:rsidP="00AB69FB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B69FB" w:rsidRDefault="00CD71CE" w:rsidP="00AB69FB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AB69FB" w:rsidRPr="00AB69FB">
              <w:rPr>
                <w:b/>
                <w:bCs/>
                <w:sz w:val="18"/>
              </w:rPr>
              <w:t>Kann Brand verstärken; Oxidationsmittel.</w:t>
            </w:r>
            <w:r w:rsidR="00AB69FB" w:rsidRPr="00AB69FB">
              <w:rPr>
                <w:sz w:val="18"/>
              </w:rPr>
              <w:t xml:space="preserve"> (H272)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b/>
                <w:bCs/>
                <w:sz w:val="18"/>
              </w:rPr>
              <w:t>Verursacht Hautreizungen.</w:t>
            </w:r>
            <w:r w:rsidRPr="00AB69FB">
              <w:rPr>
                <w:sz w:val="18"/>
              </w:rPr>
              <w:t xml:space="preserve"> (H315)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b/>
                <w:bCs/>
                <w:sz w:val="18"/>
              </w:rPr>
              <w:t>Verursacht schwere Augenschäden.</w:t>
            </w:r>
            <w:r w:rsidRPr="00AB69FB">
              <w:rPr>
                <w:sz w:val="18"/>
              </w:rPr>
              <w:t xml:space="preserve"> (H318)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b/>
                <w:bCs/>
                <w:sz w:val="18"/>
              </w:rPr>
              <w:t>Gesundheitsschädlich bei Verschlucken oder Einatmen.</w:t>
            </w:r>
            <w:r w:rsidRPr="00AB69FB">
              <w:rPr>
                <w:sz w:val="18"/>
              </w:rPr>
              <w:t xml:space="preserve"> (H302 + H332)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b/>
                <w:bCs/>
                <w:sz w:val="18"/>
              </w:rPr>
              <w:t>Kann die Atemwege reizen.</w:t>
            </w:r>
            <w:r w:rsidRPr="00AB69FB">
              <w:rPr>
                <w:sz w:val="18"/>
              </w:rPr>
              <w:t xml:space="preserve"> (H335)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sz w:val="18"/>
              </w:rPr>
              <w:t xml:space="preserve">Dämpfe sind schwerer als Luft und bilden ab einer Dampfkonzentration von 40 % Wasserstoffperoxid explosionsfähige Atmosphäre (selbst unter Inertgas!). </w:t>
            </w:r>
          </w:p>
          <w:p w:rsidR="00AB69FB" w:rsidRP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sz w:val="18"/>
              </w:rPr>
              <w:t>Reagiert heftig mit o</w:t>
            </w:r>
            <w:r>
              <w:rPr>
                <w:sz w:val="18"/>
              </w:rPr>
              <w:t>rganischen Lösungsmitteln, Alko</w:t>
            </w:r>
            <w:r w:rsidRPr="00AB69FB">
              <w:rPr>
                <w:sz w:val="18"/>
              </w:rPr>
              <w:t>holen, Aldehyden, Ketonen wie z.B. Aceton, Ethern,</w:t>
            </w:r>
            <w:r>
              <w:rPr>
                <w:sz w:val="18"/>
              </w:rPr>
              <w:t xml:space="preserve"> </w:t>
            </w:r>
            <w:r w:rsidRPr="00AB69FB">
              <w:rPr>
                <w:sz w:val="18"/>
              </w:rPr>
              <w:t>vielen Metallen, Metallpulvern und Metallsalzen,</w:t>
            </w:r>
            <w:r>
              <w:rPr>
                <w:sz w:val="18"/>
              </w:rPr>
              <w:t xml:space="preserve"> </w:t>
            </w:r>
            <w:proofErr w:type="spellStart"/>
            <w:r w:rsidRPr="00AB69FB">
              <w:rPr>
                <w:sz w:val="18"/>
              </w:rPr>
              <w:t>Phosphorpentoxid</w:t>
            </w:r>
            <w:proofErr w:type="spellEnd"/>
            <w:r w:rsidRPr="00AB69FB">
              <w:rPr>
                <w:sz w:val="18"/>
              </w:rPr>
              <w:t>, Schwefelsäure, Ammoniak, Hydrazin,</w:t>
            </w:r>
            <w:r>
              <w:rPr>
                <w:sz w:val="18"/>
              </w:rPr>
              <w:t xml:space="preserve"> </w:t>
            </w:r>
            <w:r w:rsidRPr="00AB69FB">
              <w:rPr>
                <w:sz w:val="18"/>
              </w:rPr>
              <w:t>Rost, Schmutz und Staub. Explosionsgefahr.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sz w:val="18"/>
              </w:rPr>
              <w:t>Reagiert so heftig mit br</w:t>
            </w:r>
            <w:r>
              <w:rPr>
                <w:sz w:val="18"/>
              </w:rPr>
              <w:t>ennbaren Stoffen, wie z.B. Putz</w:t>
            </w:r>
            <w:r w:rsidRPr="00AB69FB">
              <w:rPr>
                <w:sz w:val="18"/>
              </w:rPr>
              <w:t>lappen, Sägemehl, organischen Substanzen, Öl, Holz,</w:t>
            </w:r>
            <w:r>
              <w:rPr>
                <w:sz w:val="18"/>
              </w:rPr>
              <w:t xml:space="preserve"> </w:t>
            </w:r>
            <w:r w:rsidRPr="00AB69FB">
              <w:rPr>
                <w:sz w:val="18"/>
              </w:rPr>
              <w:t>Kork, dass diese z.T. ohn</w:t>
            </w:r>
            <w:r>
              <w:rPr>
                <w:sz w:val="18"/>
              </w:rPr>
              <w:t>e weitere Zündquelle zur Entzün</w:t>
            </w:r>
            <w:r w:rsidRPr="00AB69FB">
              <w:rPr>
                <w:sz w:val="18"/>
              </w:rPr>
              <w:t>dung gebracht oder einen bestehenden Brand erheblich</w:t>
            </w:r>
            <w:r>
              <w:rPr>
                <w:sz w:val="18"/>
              </w:rPr>
              <w:t xml:space="preserve"> </w:t>
            </w:r>
            <w:r w:rsidRPr="00AB69FB">
              <w:rPr>
                <w:sz w:val="18"/>
              </w:rPr>
              <w:t>fördern können.</w:t>
            </w:r>
            <w:r>
              <w:rPr>
                <w:sz w:val="18"/>
              </w:rPr>
              <w:t xml:space="preserve"> </w:t>
            </w:r>
            <w:r w:rsidRPr="00AB69FB">
              <w:rPr>
                <w:sz w:val="18"/>
              </w:rPr>
              <w:t>Bei unkontrollierter Reaktion besteht Explosionsgefahr.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sz w:val="18"/>
              </w:rPr>
              <w:t>Bildet unter heftiger Wärmeentwicklung mit Laugen, Natriumhypochlorit, konze</w:t>
            </w:r>
            <w:r>
              <w:rPr>
                <w:sz w:val="18"/>
              </w:rPr>
              <w:t>ntrierter Salpetersäure, Perman</w:t>
            </w:r>
            <w:r w:rsidRPr="00AB69FB">
              <w:rPr>
                <w:sz w:val="18"/>
              </w:rPr>
              <w:t xml:space="preserve">ganaten und </w:t>
            </w:r>
            <w:proofErr w:type="spellStart"/>
            <w:r w:rsidRPr="00AB69FB">
              <w:rPr>
                <w:sz w:val="18"/>
              </w:rPr>
              <w:t>Dichromaten</w:t>
            </w:r>
            <w:proofErr w:type="spellEnd"/>
            <w:r w:rsidRPr="00AB69FB">
              <w:rPr>
                <w:sz w:val="18"/>
              </w:rPr>
              <w:t xml:space="preserve"> gefährliche Gase und Dämpfe (Sauerstoff - Brandgefahr). 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sz w:val="18"/>
              </w:rPr>
              <w:t>Zersetzt sich bei Erwärmung oder Lichteinwirkung in Wasser und Sauerstoff.</w:t>
            </w:r>
          </w:p>
          <w:p w:rsidR="00CD71CE" w:rsidRDefault="00CD71CE" w:rsidP="00406D96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406D96">
              <w:rPr>
                <w:sz w:val="18"/>
              </w:rPr>
              <w:t xml:space="preserve">Wassergefährdungsklasse (WGK): </w:t>
            </w:r>
            <w:r>
              <w:rPr>
                <w:sz w:val="18"/>
              </w:rPr>
              <w:t>1 (schwach wassergefährdend)</w:t>
            </w:r>
            <w:bookmarkStart w:id="4" w:name="GHS06"/>
            <w:bookmarkEnd w:id="4"/>
          </w:p>
        </w:tc>
      </w:tr>
      <w:tr w:rsidR="00826E4E" w:rsidTr="00AB69FB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AB69FB">
        <w:trPr>
          <w:trHeight w:val="227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D71CE" w:rsidRDefault="00D21410" w:rsidP="00AB69FB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244" name="Bild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D21410" w:rsidP="00E95E3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245" name="Bild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B69FB" w:rsidRDefault="00CD71CE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AB69FB" w:rsidRPr="00AB69FB">
              <w:rPr>
                <w:b/>
                <w:bCs/>
                <w:sz w:val="18"/>
              </w:rPr>
              <w:t>Von Kleidung und anderen brennbaren Materialien fernhalten.</w:t>
            </w:r>
            <w:r w:rsidR="00AB69FB">
              <w:rPr>
                <w:sz w:val="18"/>
              </w:rPr>
              <w:t xml:space="preserve"> 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b/>
                <w:bCs/>
                <w:sz w:val="18"/>
              </w:rPr>
              <w:t>Einatmen von Dampf/Nebel vermeiden.</w:t>
            </w:r>
            <w:r>
              <w:rPr>
                <w:sz w:val="18"/>
              </w:rPr>
              <w:t xml:space="preserve"> 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Berührung mit Augen und </w:t>
            </w:r>
            <w:r w:rsidRPr="00AB69FB">
              <w:rPr>
                <w:sz w:val="18"/>
              </w:rPr>
              <w:t>Haut vermeiden!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B69FB">
              <w:rPr>
                <w:sz w:val="18"/>
              </w:rPr>
              <w:t>Bildung von Dämpfen oder Nebeln vermeiden</w:t>
            </w:r>
            <w:r>
              <w:rPr>
                <w:sz w:val="18"/>
              </w:rPr>
              <w:t>, im Abzug arbeiten und Frontschieber geschlossen halten.</w:t>
            </w:r>
          </w:p>
          <w:p w:rsidR="00AB69FB" w:rsidRDefault="00AB69FB" w:rsidP="00AB69F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Gefäße nicht </w:t>
            </w:r>
            <w:proofErr w:type="gramStart"/>
            <w:r>
              <w:rPr>
                <w:sz w:val="18"/>
              </w:rPr>
              <w:t>offen stehen</w:t>
            </w:r>
            <w:proofErr w:type="gramEnd"/>
            <w:r>
              <w:rPr>
                <w:sz w:val="18"/>
              </w:rPr>
              <w:t xml:space="preserve"> lassen, </w:t>
            </w:r>
            <w:r w:rsidR="00F2647C">
              <w:rPr>
                <w:sz w:val="18"/>
              </w:rPr>
              <w:t>Reaktionsfähige Stoffe fern halten bzw. nur kontrolliert zugeben.</w:t>
            </w:r>
          </w:p>
          <w:p w:rsidR="00E95E35" w:rsidRDefault="00E95E35" w:rsidP="00E95E3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E95E35">
              <w:rPr>
                <w:sz w:val="18"/>
              </w:rPr>
              <w:t xml:space="preserve">Apparaturen vor einer </w:t>
            </w:r>
            <w:proofErr w:type="spellStart"/>
            <w:r w:rsidRPr="00E95E35">
              <w:rPr>
                <w:sz w:val="18"/>
              </w:rPr>
              <w:t>Erstbefüllung</w:t>
            </w:r>
            <w:proofErr w:type="spellEnd"/>
            <w:r w:rsidRPr="00E95E35">
              <w:rPr>
                <w:sz w:val="18"/>
              </w:rPr>
              <w:t xml:space="preserve"> oder -beschickung mit Wasserstoffperoxid einer gründlichen Reinigung und Passivierung unterziehen, um gefährliche Reaktionen zu verhindern.</w:t>
            </w:r>
          </w:p>
          <w:p w:rsidR="00E95E35" w:rsidRDefault="00F2647C" w:rsidP="00E95E3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CD71CE">
              <w:rPr>
                <w:sz w:val="18"/>
              </w:rPr>
              <w:t xml:space="preserve"> Wasser</w:t>
            </w:r>
            <w:r w:rsidR="00CD71CE">
              <w:rPr>
                <w:sz w:val="18"/>
              </w:rPr>
              <w:softHyphen/>
              <w:t>stoff</w:t>
            </w:r>
            <w:r w:rsidR="00CD71CE">
              <w:rPr>
                <w:sz w:val="18"/>
              </w:rPr>
              <w:softHyphen/>
              <w:t>peroxid-Reste auf keinen Fall wieder in Original</w:t>
            </w:r>
            <w:r w:rsidR="00CD71CE">
              <w:rPr>
                <w:sz w:val="18"/>
              </w:rPr>
              <w:softHyphen/>
              <w:t>gebinde bzw. Vorrats</w:t>
            </w:r>
            <w:r w:rsidR="00CD71CE">
              <w:rPr>
                <w:sz w:val="18"/>
              </w:rPr>
              <w:softHyphen/>
              <w:t>gefäße zurück</w:t>
            </w:r>
            <w:r w:rsidR="00CD71CE">
              <w:rPr>
                <w:sz w:val="18"/>
              </w:rPr>
              <w:softHyphen/>
              <w:t>geben. Zersetzungs</w:t>
            </w:r>
            <w:r w:rsidR="00CD71CE">
              <w:rPr>
                <w:sz w:val="18"/>
              </w:rPr>
              <w:softHyphen/>
              <w:t xml:space="preserve">gefahr! </w:t>
            </w:r>
          </w:p>
          <w:p w:rsidR="00E95E35" w:rsidRDefault="00E95E35" w:rsidP="00E95E3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D71CE">
              <w:rPr>
                <w:sz w:val="18"/>
              </w:rPr>
              <w:t>Beim Verdünnen immer zuerst das Wasser und dann Wasser</w:t>
            </w:r>
            <w:r w:rsidR="00CD71CE">
              <w:rPr>
                <w:sz w:val="18"/>
              </w:rPr>
              <w:softHyphen/>
              <w:t>stoff</w:t>
            </w:r>
            <w:r w:rsidR="00CD71CE">
              <w:rPr>
                <w:sz w:val="18"/>
              </w:rPr>
              <w:softHyphen/>
              <w:t xml:space="preserve">peroxid zugeben! Unbedingt sauberes Wasser (destilliert oder vollentsalzt) zum Verdünnen verwenden!     </w:t>
            </w:r>
          </w:p>
          <w:p w:rsidR="00E95E35" w:rsidRDefault="00E95E35" w:rsidP="00E95E3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D71CE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CD71CE">
              <w:rPr>
                <w:b/>
                <w:bCs/>
                <w:sz w:val="18"/>
              </w:rPr>
              <w:t xml:space="preserve">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>brille.</w:t>
            </w:r>
            <w:r w:rsidR="00CD71CE">
              <w:rPr>
                <w:sz w:val="18"/>
              </w:rPr>
              <w:t xml:space="preserve"> </w:t>
            </w:r>
          </w:p>
          <w:p w:rsidR="008804BE" w:rsidRDefault="00E95E35" w:rsidP="008804B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D71CE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CD71CE">
              <w:rPr>
                <w:b/>
                <w:bCs/>
                <w:sz w:val="18"/>
              </w:rPr>
              <w:t xml:space="preserve">: </w:t>
            </w:r>
            <w:r w:rsidR="00CD71CE">
              <w:rPr>
                <w:sz w:val="18"/>
              </w:rPr>
              <w:t xml:space="preserve">Handschuhe aus: </w:t>
            </w:r>
            <w:r w:rsidR="00CD71CE" w:rsidRPr="00CD71CE">
              <w:rPr>
                <w:sz w:val="18"/>
              </w:rPr>
              <w:t>Butylkautschuk (Butyl; 0,5 mm), Fluorkautschuk (FKM; 0,7 mm)</w:t>
            </w:r>
            <w:r>
              <w:rPr>
                <w:sz w:val="18"/>
              </w:rPr>
              <w:t xml:space="preserve">. </w:t>
            </w:r>
          </w:p>
          <w:p w:rsidR="00826E4E" w:rsidRPr="00E95E35" w:rsidRDefault="00E95E35" w:rsidP="008804BE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CD71CE">
              <w:rPr>
                <w:b/>
                <w:bCs/>
                <w:sz w:val="18"/>
              </w:rPr>
              <w:t xml:space="preserve">Körperschutz: </w:t>
            </w:r>
            <w:r w:rsidR="008804BE" w:rsidRPr="008804BE">
              <w:rPr>
                <w:bCs/>
                <w:sz w:val="18"/>
              </w:rPr>
              <w:t>Laborkitten und b</w:t>
            </w:r>
            <w:r w:rsidR="00CD71CE">
              <w:rPr>
                <w:sz w:val="18"/>
              </w:rPr>
              <w:t>eim Ver</w:t>
            </w:r>
            <w:r w:rsidR="00CD71CE">
              <w:rPr>
                <w:sz w:val="18"/>
              </w:rPr>
              <w:softHyphen/>
              <w:t>dün</w:t>
            </w:r>
            <w:r w:rsidR="00CD71CE">
              <w:rPr>
                <w:sz w:val="18"/>
              </w:rPr>
              <w:softHyphen/>
              <w:t>nen oder Ab</w:t>
            </w:r>
            <w:r w:rsidR="00CD71CE">
              <w:rPr>
                <w:sz w:val="18"/>
              </w:rPr>
              <w:softHyphen/>
              <w:t>fül</w:t>
            </w:r>
            <w:r w:rsidR="00CD71CE">
              <w:rPr>
                <w:sz w:val="18"/>
              </w:rPr>
              <w:softHyphen/>
              <w:t>len: Kunst</w:t>
            </w:r>
            <w:r w:rsidR="00CD71CE">
              <w:rPr>
                <w:sz w:val="18"/>
              </w:rPr>
              <w:softHyphen/>
              <w:t>stoff</w:t>
            </w:r>
            <w:r w:rsidR="00CD71CE">
              <w:rPr>
                <w:sz w:val="18"/>
              </w:rPr>
              <w:softHyphen/>
              <w:t xml:space="preserve">schürze! </w:t>
            </w:r>
            <w:bookmarkStart w:id="6" w:name="TB110a"/>
            <w:bookmarkEnd w:id="6"/>
          </w:p>
        </w:tc>
      </w:tr>
      <w:tr w:rsidR="00826E4E" w:rsidTr="00AB69FB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B69FB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AB69FB" w:rsidTr="00AB69FB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AB69FB" w:rsidRDefault="00AB69FB" w:rsidP="00CD71CE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EC0072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AB69FB" w:rsidRDefault="00AB69FB" w:rsidP="00406D9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E95E35" w:rsidRPr="00E95E35">
              <w:rPr>
                <w:b/>
                <w:bCs/>
                <w:sz w:val="18"/>
              </w:rPr>
              <w:t>Ausge</w:t>
            </w:r>
            <w:r w:rsidR="00E95E35" w:rsidRPr="00E95E35">
              <w:rPr>
                <w:b/>
                <w:bCs/>
                <w:sz w:val="18"/>
              </w:rPr>
              <w:softHyphen/>
              <w:t>lau</w:t>
            </w:r>
            <w:r w:rsidR="00E95E35" w:rsidRPr="00E95E35">
              <w:rPr>
                <w:b/>
                <w:bCs/>
                <w:sz w:val="18"/>
              </w:rPr>
              <w:softHyphen/>
              <w:t>fenes/ver</w:t>
            </w:r>
            <w:r w:rsidR="00E95E35" w:rsidRPr="00E95E35">
              <w:rPr>
                <w:b/>
                <w:bCs/>
                <w:sz w:val="18"/>
              </w:rPr>
              <w:softHyphen/>
              <w:t xml:space="preserve">schüttetes </w:t>
            </w:r>
            <w:r w:rsidRPr="00E95E35">
              <w:rPr>
                <w:b/>
                <w:bCs/>
                <w:sz w:val="18"/>
              </w:rPr>
              <w:t>Produkt</w:t>
            </w:r>
            <w:r w:rsidR="00E95E35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</w:t>
            </w:r>
            <w:r w:rsidR="00406D96">
              <w:rPr>
                <w:sz w:val="18"/>
              </w:rPr>
              <w:t>eren Mengen Atem</w:t>
            </w:r>
            <w:r w:rsidR="00406D96">
              <w:rPr>
                <w:sz w:val="18"/>
              </w:rPr>
              <w:softHyphen/>
              <w:t>schutz tragen</w:t>
            </w:r>
            <w:r w:rsidR="00E95E35">
              <w:rPr>
                <w:sz w:val="18"/>
              </w:rPr>
              <w:t xml:space="preserve"> </w:t>
            </w:r>
            <w:r w:rsidR="00406D96">
              <w:rPr>
                <w:sz w:val="18"/>
              </w:rPr>
              <w:t>(</w:t>
            </w:r>
            <w:r w:rsidR="00E95E35">
              <w:rPr>
                <w:sz w:val="18"/>
              </w:rPr>
              <w:t>Kombinationsfi</w:t>
            </w:r>
            <w:r w:rsidR="00406D96">
              <w:rPr>
                <w:sz w:val="18"/>
              </w:rPr>
              <w:t>lter CO-P3 (schwarz/weiß) oder</w:t>
            </w:r>
            <w:r w:rsidR="00E95E35">
              <w:rPr>
                <w:sz w:val="18"/>
              </w:rPr>
              <w:t xml:space="preserve"> NO-P3 (blau/weiß)</w:t>
            </w:r>
            <w:r w:rsidR="00406D96">
              <w:rPr>
                <w:sz w:val="18"/>
              </w:rPr>
              <w:t>)</w:t>
            </w:r>
            <w:r w:rsidR="00E95E35">
              <w:rPr>
                <w:sz w:val="18"/>
              </w:rPr>
              <w:t xml:space="preserve">. </w:t>
            </w:r>
            <w:r>
              <w:rPr>
                <w:sz w:val="18"/>
              </w:rPr>
              <w:t>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</w:t>
            </w:r>
            <w:r w:rsidR="009D6BDE">
              <w:rPr>
                <w:sz w:val="18"/>
              </w:rPr>
              <w:t>) auf</w:t>
            </w:r>
            <w:r w:rsidR="009D6BDE">
              <w:rPr>
                <w:sz w:val="18"/>
              </w:rPr>
              <w:softHyphen/>
              <w:t>neh</w:t>
            </w:r>
            <w:r w:rsidR="009D6BDE">
              <w:rPr>
                <w:sz w:val="18"/>
              </w:rPr>
              <w:softHyphen/>
              <w:t>men und ent</w:t>
            </w:r>
            <w:r w:rsidR="009D6BDE">
              <w:rPr>
                <w:sz w:val="18"/>
              </w:rPr>
              <w:softHyphen/>
              <w:t>sor</w:t>
            </w:r>
            <w:r w:rsidR="009D6BDE">
              <w:rPr>
                <w:sz w:val="18"/>
              </w:rPr>
              <w:softHyphen/>
              <w:t>gen!</w:t>
            </w:r>
          </w:p>
          <w:p w:rsidR="00AB69FB" w:rsidRPr="00826B1C" w:rsidRDefault="00AB69FB" w:rsidP="00865661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406D96" w:rsidRPr="00406D96">
              <w:rPr>
                <w:b/>
                <w:bCs/>
                <w:sz w:val="18"/>
              </w:rPr>
              <w:t>Im Brandfall</w:t>
            </w:r>
            <w:r w:rsidR="00406D96">
              <w:rPr>
                <w:sz w:val="18"/>
              </w:rPr>
              <w:t>: Pro</w:t>
            </w:r>
            <w:r w:rsidR="00406D96">
              <w:rPr>
                <w:sz w:val="18"/>
              </w:rPr>
              <w:softHyphen/>
              <w:t>dukt ist nicht brenn</w:t>
            </w:r>
            <w:r w:rsidR="00406D96">
              <w:rPr>
                <w:sz w:val="18"/>
              </w:rPr>
              <w:softHyphen/>
              <w:t>bar, Löschmaßnahmen auf Umgebung abstimmen.</w:t>
            </w:r>
            <w:r>
              <w:rPr>
                <w:sz w:val="18"/>
              </w:rPr>
              <w:t xml:space="preserve"> Vorsicht! Produkt ist brandfördernd und erhöht die Gefahr im Brandfall! Als Löschmittel nur Wasser im Sprühstrahl verwenden. Andere Löschmittel sind ungeeignet.  </w:t>
            </w:r>
            <w:r w:rsidRPr="00826B1C">
              <w:t xml:space="preserve"> </w:t>
            </w:r>
          </w:p>
        </w:tc>
      </w:tr>
      <w:tr w:rsidR="00826E4E" w:rsidTr="00AB69FB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AB69FB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AB69FB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AB69FB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186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B69FB" w:rsidRPr="00AB69FB" w:rsidRDefault="00CD71CE" w:rsidP="00AB69FB">
            <w:pPr>
              <w:pStyle w:val="TextBlockLeft"/>
              <w:rPr>
                <w:sz w:val="18"/>
              </w:rPr>
            </w:pPr>
            <w:bookmarkStart w:id="7" w:name="TB130"/>
            <w:bookmarkEnd w:id="7"/>
            <w:r w:rsidRPr="00AB69FB">
              <w:rPr>
                <w:sz w:val="18"/>
              </w:rPr>
              <w:t>Selbstschutz bea</w:t>
            </w:r>
            <w:r w:rsidR="00AB69FB" w:rsidRPr="00AB69FB">
              <w:rPr>
                <w:sz w:val="18"/>
              </w:rPr>
              <w:t>chten, Vorgesetz</w:t>
            </w:r>
            <w:r w:rsidR="006B5DE8">
              <w:rPr>
                <w:sz w:val="18"/>
              </w:rPr>
              <w:t>t</w:t>
            </w:r>
            <w:bookmarkStart w:id="8" w:name="_GoBack"/>
            <w:bookmarkEnd w:id="8"/>
            <w:r w:rsidR="00AB69FB" w:rsidRPr="00AB69FB">
              <w:rPr>
                <w:sz w:val="18"/>
              </w:rPr>
              <w:t>e</w:t>
            </w:r>
            <w:r w:rsidR="00EC0072">
              <w:rPr>
                <w:sz w:val="18"/>
              </w:rPr>
              <w:t>*</w:t>
            </w:r>
            <w:r w:rsidR="00AB69FB" w:rsidRPr="00AB69FB">
              <w:rPr>
                <w:sz w:val="18"/>
              </w:rPr>
              <w:t>n informieren.</w:t>
            </w:r>
          </w:p>
          <w:p w:rsidR="00CD71CE" w:rsidRDefault="00CD71CE" w:rsidP="00AB69FB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406D96">
              <w:rPr>
                <w:sz w:val="18"/>
              </w:rPr>
              <w:t>Steriler Schutzverband. Augenärztliche Behandlung.</w:t>
            </w:r>
          </w:p>
          <w:p w:rsidR="00CD71CE" w:rsidRDefault="00CD71CE" w:rsidP="00CD71C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</w:t>
            </w:r>
            <w:r w:rsidR="00406D96">
              <w:rPr>
                <w:sz w:val="18"/>
              </w:rPr>
              <w:t>te Klei</w:t>
            </w:r>
            <w:r w:rsidR="00406D96">
              <w:rPr>
                <w:sz w:val="18"/>
              </w:rPr>
              <w:softHyphen/>
              <w:t>dung so</w:t>
            </w:r>
            <w:r w:rsidR="00406D96">
              <w:rPr>
                <w:sz w:val="18"/>
              </w:rPr>
              <w:softHyphen/>
              <w:t>fort aus</w:t>
            </w:r>
            <w:r w:rsidR="00406D96">
              <w:rPr>
                <w:sz w:val="18"/>
              </w:rPr>
              <w:softHyphen/>
              <w:t>ziehen.</w:t>
            </w:r>
            <w:r>
              <w:rPr>
                <w:sz w:val="18"/>
              </w:rPr>
              <w:t xml:space="preserve">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CD71CE" w:rsidRDefault="00CD71CE" w:rsidP="00406D9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80169E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6B1976">
              <w:rPr>
                <w:sz w:val="18"/>
              </w:rPr>
              <w:t xml:space="preserve">Frischluftzufuhr. </w:t>
            </w:r>
            <w:r w:rsidR="00406D96">
              <w:rPr>
                <w:sz w:val="18"/>
              </w:rPr>
              <w:t>Ärztliche Behandlung.</w:t>
            </w:r>
            <w:r>
              <w:rPr>
                <w:sz w:val="18"/>
              </w:rPr>
              <w:t xml:space="preserve"> </w:t>
            </w:r>
          </w:p>
          <w:p w:rsidR="00826E4E" w:rsidRDefault="00CD71CE" w:rsidP="00865661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>ken lassen.</w:t>
            </w:r>
            <w:r w:rsidR="00406D96">
              <w:rPr>
                <w:sz w:val="18"/>
              </w:rPr>
              <w:t xml:space="preserve"> </w:t>
            </w:r>
          </w:p>
        </w:tc>
      </w:tr>
      <w:tr w:rsidR="00826E4E" w:rsidTr="00AB69FB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B69FB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AB69FB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15177A" w:rsidRDefault="00CD71CE" w:rsidP="00406D96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15177A">
              <w:rPr>
                <w:rFonts w:ascii="Arial" w:hAnsi="Arial"/>
                <w:sz w:val="18"/>
                <w:szCs w:val="18"/>
              </w:rPr>
              <w:t xml:space="preserve">Wasserstoffperoxid-Reste mit reinem Wasser stark verdünnen. </w:t>
            </w:r>
            <w:r w:rsidR="00826E4E" w:rsidRPr="0015177A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406D96" w:rsidRDefault="00BC592D">
      <w:pPr>
        <w:ind w:right="-1"/>
        <w:jc w:val="right"/>
        <w:rPr>
          <w:sz w:val="4"/>
          <w:szCs w:val="4"/>
        </w:rPr>
      </w:pPr>
    </w:p>
    <w:sectPr w:rsidR="00BC592D" w:rsidRPr="00406D96" w:rsidSect="00AB69FB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D21410" w:rsidP="00AB69FB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22105B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6D96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5177A"/>
    <w:rsid w:val="00171019"/>
    <w:rsid w:val="0022105B"/>
    <w:rsid w:val="0022502C"/>
    <w:rsid w:val="002B751C"/>
    <w:rsid w:val="002E2C25"/>
    <w:rsid w:val="00373338"/>
    <w:rsid w:val="00406D96"/>
    <w:rsid w:val="006B1976"/>
    <w:rsid w:val="006B5DE8"/>
    <w:rsid w:val="0080169E"/>
    <w:rsid w:val="00826B1C"/>
    <w:rsid w:val="00826E4E"/>
    <w:rsid w:val="00865661"/>
    <w:rsid w:val="008804BE"/>
    <w:rsid w:val="0096367C"/>
    <w:rsid w:val="009D6BDE"/>
    <w:rsid w:val="00AB69FB"/>
    <w:rsid w:val="00B547E0"/>
    <w:rsid w:val="00B94128"/>
    <w:rsid w:val="00BC592D"/>
    <w:rsid w:val="00CA7B2C"/>
    <w:rsid w:val="00CD71CE"/>
    <w:rsid w:val="00D21410"/>
    <w:rsid w:val="00D243C8"/>
    <w:rsid w:val="00D96765"/>
    <w:rsid w:val="00E60ECD"/>
    <w:rsid w:val="00E95E35"/>
    <w:rsid w:val="00EC0072"/>
    <w:rsid w:val="00EC50A2"/>
    <w:rsid w:val="00F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C55F143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8</cp:revision>
  <cp:lastPrinted>2001-04-11T15:22:00Z</cp:lastPrinted>
  <dcterms:created xsi:type="dcterms:W3CDTF">2024-01-18T10:00:00Z</dcterms:created>
  <dcterms:modified xsi:type="dcterms:W3CDTF">2024-01-29T16:06:00Z</dcterms:modified>
</cp:coreProperties>
</file>