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8" w:rsidRPr="00531AD8" w:rsidRDefault="00B1765B" w:rsidP="00531AD8">
      <w:pPr>
        <w:spacing w:after="240" w:line="276" w:lineRule="auto"/>
        <w:rPr>
          <w:rFonts w:ascii="Helvetica" w:hAnsi="Helvetica" w:cs="Helvetica"/>
          <w:b/>
        </w:rPr>
      </w:pPr>
      <w:r w:rsidRPr="00531AD8">
        <w:rPr>
          <w:rFonts w:ascii="Helvetica" w:hAnsi="Helvetica" w:cs="Helvetica"/>
          <w:b/>
        </w:rPr>
        <w:t>Nachhaltigkeit in Lehre und Forschung an der Goethe-Universität</w:t>
      </w:r>
      <w:r w:rsidR="00BA6A4E" w:rsidRPr="00531AD8">
        <w:rPr>
          <w:rFonts w:ascii="Helvetica" w:hAnsi="Helvetica" w:cs="Helvetica"/>
          <w:b/>
        </w:rPr>
        <w:t>: Ergänzung zur zweiten Ausschreibung der zentralen QSL-Projektmittel für Lehre</w:t>
      </w:r>
    </w:p>
    <w:p w:rsidR="00B1765B" w:rsidRPr="00531AD8" w:rsidRDefault="00B1765B" w:rsidP="00531AD8">
      <w:pPr>
        <w:spacing w:after="240" w:line="276" w:lineRule="auto"/>
        <w:rPr>
          <w:rFonts w:ascii="Helvetica" w:eastAsia="Calibri" w:hAnsi="Helvetica" w:cs="Helvetica"/>
          <w:lang w:eastAsia="de-DE"/>
        </w:rPr>
      </w:pPr>
      <w:r w:rsidRPr="00B1765B">
        <w:rPr>
          <w:rFonts w:ascii="Helvetica" w:eastAsia="Calibri" w:hAnsi="Helvetica" w:cs="Helvetica"/>
          <w:i/>
          <w:iCs/>
          <w:lang w:eastAsia="de-DE"/>
        </w:rPr>
        <w:t>Nachhaltigkei</w:t>
      </w:r>
      <w:r w:rsidR="00BA6A4E" w:rsidRPr="00531AD8">
        <w:rPr>
          <w:rFonts w:ascii="Helvetica" w:eastAsia="Calibri" w:hAnsi="Helvetica" w:cs="Helvetica"/>
          <w:i/>
          <w:iCs/>
          <w:lang w:eastAsia="de-DE"/>
        </w:rPr>
        <w:t>t</w:t>
      </w:r>
      <w:r w:rsidR="00BA6A4E" w:rsidRPr="00531AD8">
        <w:rPr>
          <w:rStyle w:val="Funotenzeichen"/>
          <w:rFonts w:ascii="Helvetica" w:hAnsi="Helvetica" w:cs="Helvetica"/>
        </w:rPr>
        <w:footnoteReference w:id="1"/>
      </w:r>
      <w:r w:rsidRPr="00B1765B">
        <w:rPr>
          <w:rFonts w:ascii="Helvetica" w:eastAsia="Calibri" w:hAnsi="Helvetica" w:cs="Helvetica"/>
          <w:lang w:eastAsia="de-DE"/>
        </w:rPr>
        <w:t xml:space="preserve"> ist ein gesellschaftlicher Such-, Lern- und Gestaltungsprozess mit dem Ziel, allen Menschen weltweit – heute und in Zukunft – ein gutes Leben innerhalb der ökologischen Grenzen des Planeten zu ermöglichen. Dem Studium und der Lehre an Hochschulen kommt in diesem Prozess eine zentrale Rolle zu. Im Sinne des von der UNESCO geförderten pädagogischen Ansatzes</w:t>
      </w:r>
      <w:r w:rsidRPr="00B1765B">
        <w:rPr>
          <w:rFonts w:ascii="Helvetica" w:eastAsia="Calibri" w:hAnsi="Helvetica" w:cs="Helvetica"/>
          <w:i/>
          <w:iCs/>
          <w:lang w:eastAsia="de-DE"/>
        </w:rPr>
        <w:t xml:space="preserve"> Bildung für nachhaltige Entwicklung (BNE)</w:t>
      </w:r>
      <w:r w:rsidRPr="00B1765B">
        <w:rPr>
          <w:rFonts w:ascii="Helvetica" w:eastAsia="Calibri" w:hAnsi="Helvetica" w:cs="Helvetica"/>
          <w:lang w:eastAsia="de-DE"/>
        </w:rPr>
        <w:t xml:space="preserve"> (siehe z.B. </w:t>
      </w:r>
      <w:hyperlink r:id="rId7" w:history="1">
        <w:r w:rsidRPr="00531AD8">
          <w:rPr>
            <w:rFonts w:ascii="Helvetica" w:eastAsia="Calibri" w:hAnsi="Helvetica" w:cs="Helvetica"/>
            <w:color w:val="0563C1"/>
            <w:u w:val="single"/>
            <w:lang w:eastAsia="de-DE"/>
          </w:rPr>
          <w:t>Deutsche UNESCO-Kommission</w:t>
        </w:r>
      </w:hyperlink>
      <w:r w:rsidRPr="00B1765B">
        <w:rPr>
          <w:rFonts w:ascii="Helvetica" w:eastAsia="Calibri" w:hAnsi="Helvetica" w:cs="Helvetica"/>
          <w:lang w:eastAsia="de-DE"/>
        </w:rPr>
        <w:t>)</w:t>
      </w:r>
      <w:r w:rsidRPr="00B1765B">
        <w:rPr>
          <w:rFonts w:ascii="Helvetica" w:eastAsia="Calibri" w:hAnsi="Helvetica" w:cs="Helvetica"/>
        </w:rPr>
        <w:t xml:space="preserve"> </w:t>
      </w:r>
      <w:r w:rsidRPr="00B1765B">
        <w:rPr>
          <w:rFonts w:ascii="Helvetica" w:eastAsia="Calibri" w:hAnsi="Helvetica" w:cs="Helvetica"/>
          <w:lang w:eastAsia="de-DE"/>
        </w:rPr>
        <w:t>können hier Menschen dazu befähigt werden, als Akteur*innen des Wandels an sozial-</w:t>
      </w:r>
      <w:bookmarkStart w:id="0" w:name="_GoBack"/>
      <w:bookmarkEnd w:id="0"/>
      <w:r w:rsidRPr="00B1765B">
        <w:rPr>
          <w:rFonts w:ascii="Helvetica" w:eastAsia="Calibri" w:hAnsi="Helvetica" w:cs="Helvetica"/>
          <w:lang w:eastAsia="de-DE"/>
        </w:rPr>
        <w:t xml:space="preserve">ökologischen Transformationen aktiv teilzunehmen und diese mitzugestalten (vgl. </w:t>
      </w:r>
      <w:hyperlink r:id="rId8" w:history="1">
        <w:proofErr w:type="spellStart"/>
        <w:r w:rsidRPr="00531AD8">
          <w:rPr>
            <w:rFonts w:ascii="Helvetica" w:eastAsia="Calibri" w:hAnsi="Helvetica" w:cs="Helvetica"/>
            <w:color w:val="0563C1"/>
            <w:u w:val="single"/>
            <w:lang w:eastAsia="de-DE"/>
          </w:rPr>
          <w:t>Bassens</w:t>
        </w:r>
        <w:proofErr w:type="spellEnd"/>
        <w:r w:rsidRPr="00531AD8">
          <w:rPr>
            <w:rFonts w:ascii="Helvetica" w:eastAsia="Calibri" w:hAnsi="Helvetica" w:cs="Helvetica"/>
            <w:color w:val="0563C1"/>
            <w:u w:val="single"/>
            <w:lang w:eastAsia="de-DE"/>
          </w:rPr>
          <w:t xml:space="preserve"> et al. 2020</w:t>
        </w:r>
      </w:hyperlink>
      <w:r w:rsidRPr="00B1765B">
        <w:rPr>
          <w:rFonts w:ascii="Helvetica" w:eastAsia="Calibri" w:hAnsi="Helvetica" w:cs="Helvetica"/>
          <w:lang w:eastAsia="de-DE"/>
        </w:rPr>
        <w:t xml:space="preserve">). Dazu bedarf es u.a. </w:t>
      </w:r>
    </w:p>
    <w:p w:rsidR="00B1765B" w:rsidRPr="00531AD8" w:rsidRDefault="00B1765B" w:rsidP="00531AD8">
      <w:pPr>
        <w:numPr>
          <w:ilvl w:val="0"/>
          <w:numId w:val="1"/>
        </w:numPr>
        <w:spacing w:after="240" w:line="276" w:lineRule="auto"/>
        <w:ind w:left="540"/>
        <w:textAlignment w:val="center"/>
        <w:rPr>
          <w:rFonts w:ascii="Helvetica" w:eastAsia="Calibri" w:hAnsi="Helvetica" w:cs="Helvetica"/>
          <w:lang w:eastAsia="de-DE"/>
        </w:rPr>
      </w:pPr>
      <w:r w:rsidRPr="00B1765B">
        <w:rPr>
          <w:rFonts w:ascii="Helvetica" w:eastAsia="Calibri" w:hAnsi="Helvetica" w:cs="Helvetica"/>
          <w:lang w:eastAsia="de-DE"/>
        </w:rPr>
        <w:t xml:space="preserve">der Vermittlung von </w:t>
      </w:r>
      <w:r w:rsidRPr="00B1765B">
        <w:rPr>
          <w:rFonts w:ascii="Helvetica" w:eastAsia="Calibri" w:hAnsi="Helvetica" w:cs="Helvetica"/>
          <w:i/>
          <w:iCs/>
          <w:lang w:eastAsia="de-DE"/>
        </w:rPr>
        <w:t>Schlüsselkompetenzen</w:t>
      </w:r>
      <w:r w:rsidRPr="00B1765B">
        <w:rPr>
          <w:rFonts w:ascii="Helvetica" w:eastAsia="Calibri" w:hAnsi="Helvetica" w:cs="Helvetica"/>
          <w:lang w:eastAsia="de-DE"/>
        </w:rPr>
        <w:t xml:space="preserve">, die jede*n Einzelne*n in die Lage versetzen, sich wirksam an gesellschaftspolitischen Prozessen in Richtung Nachhaltigkeit zu beteiligen. Diese beinhalten Kompetenzen zum systemischen Denken, zur Voraussicht und zum kritischen Denken, normative, </w:t>
      </w:r>
      <w:proofErr w:type="spellStart"/>
      <w:r w:rsidRPr="00B1765B">
        <w:rPr>
          <w:rFonts w:ascii="Helvetica" w:eastAsia="Calibri" w:hAnsi="Helvetica" w:cs="Helvetica"/>
          <w:lang w:eastAsia="de-DE"/>
        </w:rPr>
        <w:t>kollaborative</w:t>
      </w:r>
      <w:proofErr w:type="spellEnd"/>
      <w:r w:rsidRPr="00B1765B">
        <w:rPr>
          <w:rFonts w:ascii="Helvetica" w:eastAsia="Calibri" w:hAnsi="Helvetica" w:cs="Helvetica"/>
          <w:lang w:eastAsia="de-DE"/>
        </w:rPr>
        <w:t xml:space="preserve"> und strategische Kompetenzen sowie integrierte Problemlösungskompetenz (vgl. </w:t>
      </w:r>
      <w:hyperlink r:id="rId9" w:history="1">
        <w:proofErr w:type="spellStart"/>
        <w:r w:rsidRPr="00531AD8">
          <w:rPr>
            <w:rFonts w:ascii="Helvetica" w:eastAsia="Calibri" w:hAnsi="Helvetica" w:cs="Helvetica"/>
            <w:color w:val="0563C1"/>
            <w:u w:val="single"/>
            <w:lang w:eastAsia="de-DE"/>
          </w:rPr>
          <w:t>Wiek</w:t>
        </w:r>
        <w:proofErr w:type="spellEnd"/>
        <w:r w:rsidRPr="00531AD8">
          <w:rPr>
            <w:rFonts w:ascii="Helvetica" w:eastAsia="Calibri" w:hAnsi="Helvetica" w:cs="Helvetica"/>
            <w:color w:val="0563C1"/>
            <w:u w:val="single"/>
            <w:lang w:eastAsia="de-DE"/>
          </w:rPr>
          <w:t xml:space="preserve"> et al. 2011</w:t>
        </w:r>
      </w:hyperlink>
      <w:r w:rsidRPr="00B1765B">
        <w:rPr>
          <w:rFonts w:ascii="Helvetica" w:eastAsia="Calibri" w:hAnsi="Helvetica" w:cs="Helvetica"/>
          <w:lang w:eastAsia="de-DE"/>
        </w:rPr>
        <w:t xml:space="preserve">, </w:t>
      </w:r>
      <w:hyperlink r:id="rId10" w:history="1">
        <w:proofErr w:type="spellStart"/>
        <w:r w:rsidRPr="00531AD8">
          <w:rPr>
            <w:rFonts w:ascii="Helvetica" w:eastAsia="Calibri" w:hAnsi="Helvetica" w:cs="Helvetica"/>
            <w:color w:val="0563C1"/>
            <w:u w:val="single"/>
            <w:lang w:eastAsia="de-DE"/>
          </w:rPr>
          <w:t>Brundiers</w:t>
        </w:r>
        <w:proofErr w:type="spellEnd"/>
        <w:r w:rsidRPr="00531AD8">
          <w:rPr>
            <w:rFonts w:ascii="Helvetica" w:eastAsia="Calibri" w:hAnsi="Helvetica" w:cs="Helvetica"/>
            <w:color w:val="0563C1"/>
            <w:u w:val="single"/>
            <w:lang w:eastAsia="de-DE"/>
          </w:rPr>
          <w:t xml:space="preserve"> et al. 2021</w:t>
        </w:r>
      </w:hyperlink>
      <w:r w:rsidRPr="00B1765B">
        <w:rPr>
          <w:rFonts w:ascii="Helvetica" w:eastAsia="Calibri" w:hAnsi="Helvetica" w:cs="Helvetica"/>
          <w:color w:val="000000"/>
          <w:lang w:eastAsia="de-DE"/>
        </w:rPr>
        <w:t xml:space="preserve">, vgl. auch </w:t>
      </w:r>
      <w:hyperlink r:id="rId11" w:history="1">
        <w:r w:rsidRPr="00531AD8">
          <w:rPr>
            <w:rFonts w:ascii="Helvetica" w:eastAsia="Calibri" w:hAnsi="Helvetica" w:cs="Helvetica"/>
            <w:color w:val="0563C1"/>
            <w:u w:val="single"/>
          </w:rPr>
          <w:t xml:space="preserve">A </w:t>
        </w:r>
        <w:proofErr w:type="spellStart"/>
        <w:r w:rsidRPr="00531AD8">
          <w:rPr>
            <w:rFonts w:ascii="Helvetica" w:eastAsia="Calibri" w:hAnsi="Helvetica" w:cs="Helvetica"/>
            <w:color w:val="0563C1"/>
            <w:u w:val="single"/>
          </w:rPr>
          <w:t>Rounder</w:t>
        </w:r>
        <w:proofErr w:type="spellEnd"/>
        <w:r w:rsidRPr="00531AD8">
          <w:rPr>
            <w:rFonts w:ascii="Helvetica" w:eastAsia="Calibri" w:hAnsi="Helvetica" w:cs="Helvetica"/>
            <w:color w:val="0563C1"/>
            <w:u w:val="single"/>
          </w:rPr>
          <w:t xml:space="preserve"> Sense </w:t>
        </w:r>
        <w:proofErr w:type="spellStart"/>
        <w:r w:rsidRPr="00531AD8">
          <w:rPr>
            <w:rFonts w:ascii="Helvetica" w:eastAsia="Calibri" w:hAnsi="Helvetica" w:cs="Helvetica"/>
            <w:color w:val="0563C1"/>
            <w:u w:val="single"/>
          </w:rPr>
          <w:t>of</w:t>
        </w:r>
        <w:proofErr w:type="spellEnd"/>
        <w:r w:rsidRPr="00531AD8">
          <w:rPr>
            <w:rFonts w:ascii="Helvetica" w:eastAsia="Calibri" w:hAnsi="Helvetica" w:cs="Helvetica"/>
            <w:color w:val="0563C1"/>
            <w:u w:val="single"/>
          </w:rPr>
          <w:t xml:space="preserve"> </w:t>
        </w:r>
        <w:proofErr w:type="spellStart"/>
        <w:r w:rsidRPr="00531AD8">
          <w:rPr>
            <w:rFonts w:ascii="Helvetica" w:eastAsia="Calibri" w:hAnsi="Helvetica" w:cs="Helvetica"/>
            <w:color w:val="0563C1"/>
            <w:u w:val="single"/>
          </w:rPr>
          <w:t>Purpose</w:t>
        </w:r>
        <w:proofErr w:type="spellEnd"/>
      </w:hyperlink>
      <w:r w:rsidRPr="00B1765B">
        <w:rPr>
          <w:rFonts w:ascii="Helvetica" w:eastAsia="Calibri" w:hAnsi="Helvetica" w:cs="Helvetica"/>
          <w:lang w:eastAsia="de-DE"/>
        </w:rPr>
        <w:t>).</w:t>
      </w:r>
    </w:p>
    <w:p w:rsidR="00B1765B" w:rsidRPr="00531AD8" w:rsidRDefault="00B1765B" w:rsidP="00531AD8">
      <w:pPr>
        <w:numPr>
          <w:ilvl w:val="0"/>
          <w:numId w:val="1"/>
        </w:numPr>
        <w:spacing w:after="240" w:line="276" w:lineRule="auto"/>
        <w:ind w:left="540"/>
        <w:textAlignment w:val="center"/>
        <w:rPr>
          <w:rFonts w:ascii="Helvetica" w:eastAsia="Calibri" w:hAnsi="Helvetica" w:cs="Helvetica"/>
          <w:lang w:eastAsia="de-DE"/>
        </w:rPr>
      </w:pPr>
      <w:r w:rsidRPr="00B1765B">
        <w:rPr>
          <w:rFonts w:ascii="Helvetica" w:eastAsia="Calibri" w:hAnsi="Helvetica" w:cs="Helvetica"/>
          <w:lang w:eastAsia="de-DE"/>
        </w:rPr>
        <w:t xml:space="preserve">der Einbindung von </w:t>
      </w:r>
      <w:r w:rsidRPr="00B1765B">
        <w:rPr>
          <w:rFonts w:ascii="Helvetica" w:eastAsia="Calibri" w:hAnsi="Helvetica" w:cs="Helvetica"/>
          <w:i/>
          <w:iCs/>
          <w:lang w:eastAsia="de-DE"/>
        </w:rPr>
        <w:t xml:space="preserve">Nachhaltigkeit als eigener Lehrinhalt, </w:t>
      </w:r>
      <w:r w:rsidRPr="00B1765B">
        <w:rPr>
          <w:rFonts w:ascii="Helvetica" w:eastAsia="Calibri" w:hAnsi="Helvetica" w:cs="Helvetica"/>
          <w:lang w:eastAsia="de-DE"/>
        </w:rPr>
        <w:t>z.B. die Nachhaltigen Entwicklungsziele der Vereinten Nationen</w:t>
      </w:r>
      <w:r w:rsidRPr="00B1765B">
        <w:rPr>
          <w:rFonts w:ascii="Helvetica" w:eastAsia="Calibri" w:hAnsi="Helvetica" w:cs="Helvetica"/>
          <w:color w:val="000000"/>
          <w:lang w:eastAsia="de-DE"/>
        </w:rPr>
        <w:t xml:space="preserve"> (siehe z.B. </w:t>
      </w:r>
      <w:hyperlink r:id="rId12" w:history="1">
        <w:r w:rsidRPr="00531AD8">
          <w:rPr>
            <w:rFonts w:ascii="Helvetica" w:eastAsia="Calibri" w:hAnsi="Helvetica" w:cs="Helvetica"/>
            <w:color w:val="0563C1"/>
            <w:u w:val="single"/>
            <w:lang w:eastAsia="de-DE"/>
          </w:rPr>
          <w:t>Vereinte Nationen</w:t>
        </w:r>
      </w:hyperlink>
      <w:r w:rsidRPr="00B1765B">
        <w:rPr>
          <w:rFonts w:ascii="Helvetica" w:eastAsia="Calibri" w:hAnsi="Helvetica" w:cs="Helvetica"/>
          <w:color w:val="000000"/>
          <w:lang w:eastAsia="de-DE"/>
        </w:rPr>
        <w:t>)</w:t>
      </w:r>
      <w:r w:rsidRPr="00B1765B">
        <w:rPr>
          <w:rFonts w:ascii="Helvetica" w:eastAsia="Calibri" w:hAnsi="Helvetica" w:cs="Helvetica"/>
        </w:rPr>
        <w:t>.</w:t>
      </w:r>
    </w:p>
    <w:p w:rsidR="00B1765B" w:rsidRPr="00531AD8" w:rsidRDefault="00B1765B" w:rsidP="00531AD8">
      <w:pPr>
        <w:numPr>
          <w:ilvl w:val="0"/>
          <w:numId w:val="1"/>
        </w:numPr>
        <w:spacing w:after="240" w:line="276" w:lineRule="auto"/>
        <w:ind w:left="540"/>
        <w:textAlignment w:val="center"/>
        <w:rPr>
          <w:rFonts w:ascii="Helvetica" w:eastAsia="Calibri" w:hAnsi="Helvetica" w:cs="Helvetica"/>
          <w:lang w:eastAsia="de-DE"/>
        </w:rPr>
      </w:pPr>
      <w:r w:rsidRPr="00B1765B">
        <w:rPr>
          <w:rFonts w:ascii="Helvetica" w:eastAsia="Calibri" w:hAnsi="Helvetica" w:cs="Helvetica"/>
          <w:i/>
          <w:iCs/>
          <w:lang w:eastAsia="de-DE"/>
        </w:rPr>
        <w:t>transdisziplinärer und transformativer Lehr- und Lernumgebungen</w:t>
      </w:r>
      <w:r w:rsidRPr="00B1765B">
        <w:rPr>
          <w:rFonts w:ascii="Helvetica" w:eastAsia="Calibri" w:hAnsi="Helvetica" w:cs="Helvetica"/>
          <w:lang w:eastAsia="de-DE"/>
        </w:rPr>
        <w:t>, in denen Studierende und Wissenschaftler*innen unterschiedlicher Fachrichtungen und insbesondere auch außerwissenschaftliche Akteur*innen in gemeinsamen Lernprozessen gesellschaftlich relevante Problemstellungen sowie lösungsorientiertes, gesellschaftlich robustes Wissens erarbeiten (vgl. z.B.</w:t>
      </w:r>
      <w:r w:rsidRPr="00B1765B">
        <w:rPr>
          <w:rFonts w:ascii="Helvetica" w:eastAsia="Calibri" w:hAnsi="Helvetica" w:cs="Helvetica"/>
        </w:rPr>
        <w:t xml:space="preserve"> </w:t>
      </w:r>
      <w:hyperlink r:id="rId13" w:history="1">
        <w:r w:rsidRPr="00531AD8">
          <w:rPr>
            <w:rFonts w:ascii="Helvetica" w:eastAsia="Calibri" w:hAnsi="Helvetica" w:cs="Helvetica"/>
            <w:color w:val="0563C1"/>
            <w:u w:val="single"/>
          </w:rPr>
          <w:t>Transformative Innovation Lab</w:t>
        </w:r>
      </w:hyperlink>
      <w:r w:rsidRPr="00B1765B">
        <w:rPr>
          <w:rFonts w:ascii="Helvetica" w:eastAsia="Calibri" w:hAnsi="Helvetica" w:cs="Helvetica"/>
          <w:lang w:eastAsia="de-DE"/>
        </w:rPr>
        <w:t>).</w:t>
      </w:r>
    </w:p>
    <w:p w:rsidR="00B1765B" w:rsidRPr="00B1765B" w:rsidRDefault="00B1765B" w:rsidP="00531AD8">
      <w:pPr>
        <w:numPr>
          <w:ilvl w:val="0"/>
          <w:numId w:val="1"/>
        </w:numPr>
        <w:spacing w:after="240" w:line="276" w:lineRule="auto"/>
        <w:ind w:left="540"/>
        <w:textAlignment w:val="center"/>
        <w:rPr>
          <w:rFonts w:ascii="Helvetica" w:eastAsia="Calibri" w:hAnsi="Helvetica" w:cs="Helvetica"/>
          <w:lang w:eastAsia="de-DE"/>
        </w:rPr>
      </w:pPr>
      <w:r w:rsidRPr="00B1765B">
        <w:rPr>
          <w:rFonts w:ascii="Helvetica" w:eastAsia="Calibri" w:hAnsi="Helvetica" w:cs="Helvetica"/>
          <w:lang w:eastAsia="de-DE"/>
        </w:rPr>
        <w:t xml:space="preserve">entsprechender </w:t>
      </w:r>
      <w:r w:rsidRPr="00B1765B">
        <w:rPr>
          <w:rFonts w:ascii="Helvetica" w:eastAsia="Calibri" w:hAnsi="Helvetica" w:cs="Helvetica"/>
          <w:i/>
          <w:iCs/>
          <w:lang w:eastAsia="de-DE"/>
        </w:rPr>
        <w:t>transdisziplinärer und transformativer Lehr-Lern-Formate</w:t>
      </w:r>
      <w:r w:rsidRPr="00B1765B">
        <w:rPr>
          <w:rFonts w:ascii="Helvetica" w:eastAsia="Calibri" w:hAnsi="Helvetica" w:cs="Helvetica"/>
          <w:lang w:eastAsia="de-DE"/>
        </w:rPr>
        <w:t xml:space="preserve">. Dazu gehören z.B. Projekt- und problembasiertes Lernen, Service Learning, Action Learning, Situiertes Lernen, interdisziplinäre Vortragsreihen, Lernteam-Coaching, </w:t>
      </w:r>
      <w:proofErr w:type="spellStart"/>
      <w:r w:rsidRPr="00B1765B">
        <w:rPr>
          <w:rFonts w:ascii="Helvetica" w:eastAsia="Calibri" w:hAnsi="Helvetica" w:cs="Helvetica"/>
          <w:lang w:eastAsia="de-DE"/>
        </w:rPr>
        <w:t>Blended</w:t>
      </w:r>
      <w:proofErr w:type="spellEnd"/>
      <w:r w:rsidRPr="00B1765B">
        <w:rPr>
          <w:rFonts w:ascii="Helvetica" w:eastAsia="Calibri" w:hAnsi="Helvetica" w:cs="Helvetica"/>
          <w:lang w:eastAsia="de-DE"/>
        </w:rPr>
        <w:t xml:space="preserve"> Learning, Reallaboransätze und Lernwerkstätten, Nachhaltige Entwicklungs-Veranstaltungen von Studierenden für Studierende, Mitwirkung an Forschungsprojekten sowie Nachhaltigkeitswochen und –</w:t>
      </w:r>
      <w:proofErr w:type="spellStart"/>
      <w:r w:rsidRPr="00B1765B">
        <w:rPr>
          <w:rFonts w:ascii="Helvetica" w:eastAsia="Calibri" w:hAnsi="Helvetica" w:cs="Helvetica"/>
          <w:lang w:eastAsia="de-DE"/>
        </w:rPr>
        <w:t>semester</w:t>
      </w:r>
      <w:proofErr w:type="spellEnd"/>
      <w:r w:rsidRPr="00B1765B">
        <w:rPr>
          <w:rFonts w:ascii="Helvetica" w:eastAsia="Calibri" w:hAnsi="Helvetica" w:cs="Helvetica"/>
          <w:lang w:eastAsia="de-DE"/>
        </w:rPr>
        <w:t xml:space="preserve"> (vgl. </w:t>
      </w:r>
      <w:hyperlink r:id="rId14" w:history="1">
        <w:proofErr w:type="spellStart"/>
        <w:r w:rsidRPr="00531AD8">
          <w:rPr>
            <w:rFonts w:ascii="Helvetica" w:eastAsia="Calibri" w:hAnsi="Helvetica" w:cs="Helvetica"/>
            <w:color w:val="0563C1"/>
            <w:u w:val="single"/>
            <w:lang w:eastAsia="de-DE"/>
          </w:rPr>
          <w:t>Bassens</w:t>
        </w:r>
        <w:proofErr w:type="spellEnd"/>
        <w:r w:rsidRPr="00531AD8">
          <w:rPr>
            <w:rFonts w:ascii="Helvetica" w:eastAsia="Calibri" w:hAnsi="Helvetica" w:cs="Helvetica"/>
            <w:color w:val="0563C1"/>
            <w:u w:val="single"/>
            <w:lang w:eastAsia="de-DE"/>
          </w:rPr>
          <w:t xml:space="preserve"> et al. 2020</w:t>
        </w:r>
      </w:hyperlink>
      <w:r w:rsidRPr="00B1765B">
        <w:rPr>
          <w:rFonts w:ascii="Helvetica" w:eastAsia="Calibri" w:hAnsi="Helvetica" w:cs="Helvetica"/>
          <w:lang w:eastAsia="de-DE"/>
        </w:rPr>
        <w:t>).</w:t>
      </w:r>
    </w:p>
    <w:p w:rsidR="00B1765B" w:rsidRDefault="00B1765B" w:rsidP="00531AD8">
      <w:pPr>
        <w:spacing w:after="240" w:line="276" w:lineRule="auto"/>
        <w:rPr>
          <w:rFonts w:ascii="Helvetica" w:hAnsi="Helvetica" w:cs="Helvetica"/>
        </w:rPr>
      </w:pPr>
    </w:p>
    <w:p w:rsidR="00531AD8" w:rsidRPr="00531AD8" w:rsidRDefault="00531AD8" w:rsidP="00531AD8">
      <w:pPr>
        <w:spacing w:after="240" w:line="276" w:lineRule="auto"/>
        <w:rPr>
          <w:rFonts w:ascii="Helvetica" w:hAnsi="Helvetica" w:cs="Helvetica"/>
        </w:rPr>
      </w:pPr>
    </w:p>
    <w:p w:rsidR="00B1765B" w:rsidRPr="00531AD8" w:rsidRDefault="00B1765B" w:rsidP="00531AD8">
      <w:pPr>
        <w:spacing w:after="240" w:line="276" w:lineRule="auto"/>
        <w:rPr>
          <w:rFonts w:ascii="Helvetica" w:hAnsi="Helvetica" w:cs="Helvetica"/>
        </w:rPr>
      </w:pPr>
      <w:r w:rsidRPr="00531AD8">
        <w:rPr>
          <w:rFonts w:ascii="Helvetica" w:hAnsi="Helvetica" w:cs="Helvetica"/>
        </w:rPr>
        <w:t xml:space="preserve">Ansprechpartnerin </w:t>
      </w:r>
      <w:r w:rsidR="00BA6A4E" w:rsidRPr="00531AD8">
        <w:rPr>
          <w:rFonts w:ascii="Helvetica" w:hAnsi="Helvetica" w:cs="Helvetica"/>
        </w:rPr>
        <w:t xml:space="preserve">für </w:t>
      </w:r>
      <w:r w:rsidRPr="00531AD8">
        <w:rPr>
          <w:rFonts w:ascii="Helvetica" w:hAnsi="Helvetica" w:cs="Helvetica"/>
          <w:u w:val="single"/>
        </w:rPr>
        <w:t>Rückfragen</w:t>
      </w:r>
      <w:r w:rsidR="00BA6A4E" w:rsidRPr="00531AD8">
        <w:rPr>
          <w:rFonts w:ascii="Helvetica" w:hAnsi="Helvetica" w:cs="Helvetica"/>
          <w:u w:val="single"/>
        </w:rPr>
        <w:t xml:space="preserve"> zu</w:t>
      </w:r>
      <w:r w:rsidR="0083305C" w:rsidRPr="00531AD8">
        <w:rPr>
          <w:rFonts w:ascii="Helvetica" w:hAnsi="Helvetica" w:cs="Helvetica"/>
          <w:u w:val="single"/>
        </w:rPr>
        <w:t>r</w:t>
      </w:r>
      <w:r w:rsidR="00BA6A4E" w:rsidRPr="00531AD8">
        <w:rPr>
          <w:rFonts w:ascii="Helvetica" w:hAnsi="Helvetica" w:cs="Helvetica"/>
          <w:u w:val="single"/>
        </w:rPr>
        <w:t xml:space="preserve"> Nachhaltigkeit</w:t>
      </w:r>
      <w:r w:rsidRPr="00531AD8">
        <w:rPr>
          <w:rFonts w:ascii="Helvetica" w:hAnsi="Helvetica" w:cs="Helvetica"/>
        </w:rPr>
        <w:t>:</w:t>
      </w:r>
    </w:p>
    <w:p w:rsidR="00BA6A4E" w:rsidRPr="00531AD8" w:rsidRDefault="00BA6A4E" w:rsidP="00531AD8">
      <w:pPr>
        <w:spacing w:after="240" w:line="276" w:lineRule="auto"/>
        <w:rPr>
          <w:rFonts w:ascii="Helvetica" w:hAnsi="Helvetica" w:cs="Helvetica"/>
        </w:rPr>
      </w:pPr>
      <w:r w:rsidRPr="00531AD8">
        <w:rPr>
          <w:rFonts w:ascii="Helvetica" w:hAnsi="Helvetica" w:cs="Helvetica"/>
          <w:b/>
        </w:rPr>
        <w:t xml:space="preserve">Nachhaltigkeitsbüro </w:t>
      </w:r>
      <w:r w:rsidR="0083305C" w:rsidRPr="00531AD8">
        <w:rPr>
          <w:rFonts w:ascii="Helvetica" w:hAnsi="Helvetica" w:cs="Helvetica"/>
          <w:b/>
        </w:rPr>
        <w:t>der Goethe-Universität Frankfurt</w:t>
      </w:r>
      <w:r w:rsidRPr="00531AD8">
        <w:rPr>
          <w:rFonts w:ascii="Helvetica" w:hAnsi="Helvetica" w:cs="Helvetica"/>
          <w:b/>
        </w:rPr>
        <w:br/>
        <w:t>Nele Kress</w:t>
      </w:r>
      <w:r w:rsidRPr="00531AD8">
        <w:rPr>
          <w:rFonts w:ascii="Helvetica" w:hAnsi="Helvetica" w:cs="Helvetica"/>
          <w:b/>
        </w:rPr>
        <w:br/>
      </w:r>
      <w:hyperlink r:id="rId15" w:history="1">
        <w:r w:rsidRPr="00531AD8">
          <w:rPr>
            <w:rStyle w:val="Hyperlink"/>
            <w:rFonts w:ascii="Helvetica" w:hAnsi="Helvetica" w:cs="Helvetica"/>
          </w:rPr>
          <w:t>kress@nachhaltigkeit.uni-frankfurt.de</w:t>
        </w:r>
      </w:hyperlink>
      <w:r w:rsidRPr="00531AD8">
        <w:rPr>
          <w:rFonts w:ascii="Helvetica" w:hAnsi="Helvetica" w:cs="Helvetica"/>
        </w:rPr>
        <w:t xml:space="preserve"> </w:t>
      </w:r>
    </w:p>
    <w:sectPr w:rsidR="00BA6A4E" w:rsidRPr="00531AD8">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5B" w:rsidRDefault="00B1765B" w:rsidP="00B1765B">
      <w:pPr>
        <w:spacing w:after="0" w:line="240" w:lineRule="auto"/>
      </w:pPr>
      <w:r>
        <w:separator/>
      </w:r>
    </w:p>
  </w:endnote>
  <w:endnote w:type="continuationSeparator" w:id="0">
    <w:p w:rsidR="00B1765B" w:rsidRDefault="00B1765B" w:rsidP="00B1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5B" w:rsidRDefault="00B1765B" w:rsidP="00B1765B">
      <w:pPr>
        <w:spacing w:after="0" w:line="240" w:lineRule="auto"/>
      </w:pPr>
      <w:r>
        <w:separator/>
      </w:r>
    </w:p>
  </w:footnote>
  <w:footnote w:type="continuationSeparator" w:id="0">
    <w:p w:rsidR="00B1765B" w:rsidRDefault="00B1765B" w:rsidP="00B1765B">
      <w:pPr>
        <w:spacing w:after="0" w:line="240" w:lineRule="auto"/>
      </w:pPr>
      <w:r>
        <w:continuationSeparator/>
      </w:r>
    </w:p>
  </w:footnote>
  <w:footnote w:id="1">
    <w:p w:rsidR="00BA6A4E" w:rsidRPr="00531AD8" w:rsidRDefault="00BA6A4E" w:rsidP="00BA6A4E">
      <w:pPr>
        <w:pStyle w:val="Funotentext"/>
        <w:rPr>
          <w:rFonts w:ascii="Helvetica" w:hAnsi="Helvetica" w:cs="Helvetica"/>
        </w:rPr>
      </w:pPr>
      <w:r w:rsidRPr="00531AD8">
        <w:rPr>
          <w:rStyle w:val="Funotenzeichen"/>
          <w:rFonts w:ascii="Helvetica" w:hAnsi="Helvetica" w:cs="Helvetica"/>
        </w:rPr>
        <w:footnoteRef/>
      </w:r>
      <w:r w:rsidRPr="00531AD8">
        <w:rPr>
          <w:rFonts w:ascii="Helvetica" w:hAnsi="Helvetica" w:cs="Helvetica"/>
        </w:rPr>
        <w:t xml:space="preserve"> s. hierzu auch</w:t>
      </w:r>
      <w:r w:rsidRPr="00531AD8">
        <w:rPr>
          <w:rFonts w:ascii="Helvetica" w:hAnsi="Helvetica" w:cs="Helvetica"/>
          <w:lang w:eastAsia="de-DE"/>
        </w:rPr>
        <w:t xml:space="preserve"> Leitfaden BMBF-Projekt HOCHN </w:t>
      </w:r>
      <w:hyperlink r:id="rId1" w:history="1">
        <w:r w:rsidRPr="00531AD8">
          <w:rPr>
            <w:rStyle w:val="Hyperlink"/>
            <w:rFonts w:ascii="Helvetica" w:hAnsi="Helvetica" w:cs="Helvetica"/>
            <w:lang w:eastAsia="de-DE"/>
          </w:rPr>
          <w:t>Bildung für Nachhaltige Entwicklung (BNE) in der Hochschullehre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7D" w:rsidRPr="00303B7D" w:rsidRDefault="00303B7D">
    <w:pPr>
      <w:pStyle w:val="Kopfzeile"/>
      <w:rPr>
        <w:rFonts w:ascii="Helvetica" w:hAnsi="Helvetica" w:cs="Helvetica"/>
      </w:rPr>
    </w:pPr>
    <w:r w:rsidRPr="00303B7D">
      <w:rPr>
        <w:rFonts w:ascii="Helvetica" w:hAnsi="Helvetica" w:cs="Helvetica"/>
      </w:rPr>
      <w:t>Stand: 16.08.2022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77713"/>
    <w:multiLevelType w:val="multilevel"/>
    <w:tmpl w:val="A6B4D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5B"/>
    <w:rsid w:val="001844A5"/>
    <w:rsid w:val="00303B7D"/>
    <w:rsid w:val="00531AD8"/>
    <w:rsid w:val="0083305C"/>
    <w:rsid w:val="00B1765B"/>
    <w:rsid w:val="00BA6A4E"/>
    <w:rsid w:val="00DD631B"/>
    <w:rsid w:val="00F62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172"/>
  <w15:chartTrackingRefBased/>
  <w15:docId w15:val="{4562724A-E3DD-4757-BEF0-26505DA8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176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765B"/>
    <w:rPr>
      <w:sz w:val="20"/>
      <w:szCs w:val="20"/>
    </w:rPr>
  </w:style>
  <w:style w:type="character" w:styleId="Funotenzeichen">
    <w:name w:val="footnote reference"/>
    <w:basedOn w:val="Absatz-Standardschriftart"/>
    <w:uiPriority w:val="99"/>
    <w:semiHidden/>
    <w:unhideWhenUsed/>
    <w:rsid w:val="00B1765B"/>
    <w:rPr>
      <w:vertAlign w:val="superscript"/>
    </w:rPr>
  </w:style>
  <w:style w:type="character" w:styleId="Hyperlink">
    <w:name w:val="Hyperlink"/>
    <w:basedOn w:val="Absatz-Standardschriftart"/>
    <w:uiPriority w:val="99"/>
    <w:unhideWhenUsed/>
    <w:rsid w:val="00B1765B"/>
    <w:rPr>
      <w:color w:val="0563C1"/>
      <w:u w:val="single"/>
    </w:rPr>
  </w:style>
  <w:style w:type="paragraph" w:styleId="Listenabsatz">
    <w:name w:val="List Paragraph"/>
    <w:basedOn w:val="Standard"/>
    <w:uiPriority w:val="34"/>
    <w:qFormat/>
    <w:rsid w:val="00B1765B"/>
    <w:pPr>
      <w:ind w:left="720"/>
      <w:contextualSpacing/>
    </w:pPr>
  </w:style>
  <w:style w:type="paragraph" w:styleId="Kopfzeile">
    <w:name w:val="header"/>
    <w:basedOn w:val="Standard"/>
    <w:link w:val="KopfzeileZchn"/>
    <w:uiPriority w:val="99"/>
    <w:unhideWhenUsed/>
    <w:rsid w:val="00303B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3B7D"/>
  </w:style>
  <w:style w:type="paragraph" w:styleId="Fuzeile">
    <w:name w:val="footer"/>
    <w:basedOn w:val="Standard"/>
    <w:link w:val="FuzeileZchn"/>
    <w:uiPriority w:val="99"/>
    <w:unhideWhenUsed/>
    <w:rsid w:val="00303B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8370">
      <w:bodyDiv w:val="1"/>
      <w:marLeft w:val="0"/>
      <w:marRight w:val="0"/>
      <w:marTop w:val="0"/>
      <w:marBottom w:val="0"/>
      <w:divBdr>
        <w:top w:val="none" w:sz="0" w:space="0" w:color="auto"/>
        <w:left w:val="none" w:sz="0" w:space="0" w:color="auto"/>
        <w:bottom w:val="none" w:sz="0" w:space="0" w:color="auto"/>
        <w:right w:val="none" w:sz="0" w:space="0" w:color="auto"/>
      </w:divBdr>
    </w:div>
    <w:div w:id="684479854">
      <w:bodyDiv w:val="1"/>
      <w:marLeft w:val="0"/>
      <w:marRight w:val="0"/>
      <w:marTop w:val="0"/>
      <w:marBottom w:val="0"/>
      <w:divBdr>
        <w:top w:val="none" w:sz="0" w:space="0" w:color="auto"/>
        <w:left w:val="none" w:sz="0" w:space="0" w:color="auto"/>
        <w:bottom w:val="none" w:sz="0" w:space="0" w:color="auto"/>
        <w:right w:val="none" w:sz="0" w:space="0" w:color="auto"/>
      </w:divBdr>
    </w:div>
    <w:div w:id="16057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chn.uni-hamburg.de/-downloads/handlungsfelder/lehre/hochn-leitfaden-lehre-2020-neu.pdf" TargetMode="External"/><Relationship Id="rId13" Type="http://schemas.openxmlformats.org/officeDocument/2006/relationships/hyperlink" Target="https://www.transformative-innovation-lab.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esco.de/bildung/bildung-fuer-nachhaltige-entwicklung/unesco-programm-bne-2030" TargetMode="External"/><Relationship Id="rId12" Type="http://schemas.openxmlformats.org/officeDocument/2006/relationships/hyperlink" Target="https://unric.org/de/17zie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oundersenseofpurpose.eu/" TargetMode="External"/><Relationship Id="rId5" Type="http://schemas.openxmlformats.org/officeDocument/2006/relationships/footnotes" Target="footnotes.xml"/><Relationship Id="rId15" Type="http://schemas.openxmlformats.org/officeDocument/2006/relationships/hyperlink" Target="mailto:kress@nachhaltigkeit.uni-frankfurt.de" TargetMode="External"/><Relationship Id="rId10" Type="http://schemas.openxmlformats.org/officeDocument/2006/relationships/hyperlink" Target="https://link.springer.com/article/10.1007/s11625-020-00838-2" TargetMode="External"/><Relationship Id="rId4" Type="http://schemas.openxmlformats.org/officeDocument/2006/relationships/webSettings" Target="webSettings.xml"/><Relationship Id="rId9" Type="http://schemas.openxmlformats.org/officeDocument/2006/relationships/hyperlink" Target="https://link.springer.com/article/10.1007/s11625-011-0132-6" TargetMode="External"/><Relationship Id="rId14" Type="http://schemas.openxmlformats.org/officeDocument/2006/relationships/hyperlink" Target="https://www.hochn.uni-hamburg.de/-downloads/handlungsfelder/lehre/hochn-leitfaden-lehre-2020-ne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ochn.uni-hamburg.de/-downloads/handlungsfelder/lehre/hochn-leitfaden-lehre-2020-neu.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Horvathova.Brigitte</dc:creator>
  <cp:keywords/>
  <dc:description/>
  <cp:lastModifiedBy>Horvathova.Brigitte</cp:lastModifiedBy>
  <cp:revision>6</cp:revision>
  <dcterms:created xsi:type="dcterms:W3CDTF">2022-08-15T05:14:00Z</dcterms:created>
  <dcterms:modified xsi:type="dcterms:W3CDTF">2022-08-16T12:46:00Z</dcterms:modified>
</cp:coreProperties>
</file>