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84"/>
        <w:gridCol w:w="3544"/>
        <w:gridCol w:w="2326"/>
        <w:gridCol w:w="1360"/>
        <w:gridCol w:w="1559"/>
      </w:tblGrid>
      <w:tr w:rsidR="0051610E">
        <w:trPr>
          <w:cantSplit/>
          <w:trHeight w:val="1701"/>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51610E" w:rsidRDefault="00376E4A">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51610E" w:rsidRDefault="00376E4A">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51610E" w:rsidRDefault="0051610E">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51610E" w:rsidRDefault="00575B45">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51610E">
        <w:tc>
          <w:tcPr>
            <w:tcW w:w="10490" w:type="dxa"/>
            <w:gridSpan w:val="7"/>
            <w:tcBorders>
              <w:top w:val="single" w:sz="4" w:space="0" w:color="auto"/>
              <w:left w:val="single" w:sz="48" w:space="0" w:color="FFCC00"/>
              <w:bottom w:val="nil"/>
              <w:right w:val="single" w:sz="48" w:space="0" w:color="FFCC00"/>
            </w:tcBorders>
            <w:shd w:val="clear" w:color="FF0000" w:fill="auto"/>
          </w:tcPr>
          <w:p w:rsidR="0051610E" w:rsidRDefault="00376E4A">
            <w:pPr>
              <w:pStyle w:val="berschrift4"/>
              <w:spacing w:before="120"/>
              <w:rPr>
                <w:sz w:val="32"/>
              </w:rPr>
            </w:pPr>
            <w:r>
              <w:rPr>
                <w:rFonts w:ascii="Arial" w:hAnsi="Arial"/>
                <w:sz w:val="32"/>
              </w:rPr>
              <w:t>Hochentzündliche Gefahrstoffe, flüssig</w:t>
            </w:r>
          </w:p>
        </w:tc>
      </w:tr>
      <w:tr w:rsidR="0051610E">
        <w:trPr>
          <w:trHeight w:val="787"/>
        </w:trPr>
        <w:tc>
          <w:tcPr>
            <w:tcW w:w="10490" w:type="dxa"/>
            <w:gridSpan w:val="7"/>
            <w:tcBorders>
              <w:left w:val="single" w:sz="48" w:space="0" w:color="FFCC00"/>
              <w:bottom w:val="nil"/>
              <w:right w:val="single" w:sz="48" w:space="0" w:color="FFCC00"/>
            </w:tcBorders>
            <w:shd w:val="clear" w:color="FF0000" w:fill="auto"/>
          </w:tcPr>
          <w:p w:rsidR="0051610E" w:rsidRDefault="00376E4A">
            <w:pPr>
              <w:jc w:val="center"/>
              <w:rPr>
                <w:rFonts w:ascii="Arial" w:hAnsi="Arial"/>
                <w:i/>
                <w:iCs/>
              </w:rPr>
            </w:pPr>
            <w:r>
              <w:rPr>
                <w:rFonts w:ascii="Arial" w:hAnsi="Arial"/>
                <w:i/>
                <w:iCs/>
              </w:rPr>
              <w:t>flüssige Stoffe und Zubereitungen, die einen Flammpunkt unter 0 °C und einen Siedepunkt (oder bei einem Siedebereich einen Siedebeginn) von höchstens 35 °C haben</w:t>
            </w:r>
          </w:p>
          <w:p w:rsidR="0051610E" w:rsidRDefault="00376E4A">
            <w:pPr>
              <w:jc w:val="center"/>
            </w:pPr>
            <w:r>
              <w:rPr>
                <w:rFonts w:ascii="Arial" w:hAnsi="Arial"/>
                <w:i/>
              </w:rPr>
              <w:t>Hinweis: Es gibt weitere entzündliche (FP 21°C bis 55°C) und leichtentzündliche (FP unter 21°C) Gefahrstoffe</w:t>
            </w:r>
          </w:p>
          <w:p w:rsidR="0051610E" w:rsidRDefault="00376E4A">
            <w:pPr>
              <w:jc w:val="center"/>
              <w:rPr>
                <w:sz w:val="24"/>
              </w:rPr>
            </w:pPr>
            <w:r>
              <w:rPr>
                <w:rFonts w:ascii="Arial" w:hAnsi="Arial"/>
                <w:sz w:val="24"/>
              </w:rPr>
              <w:t xml:space="preserve">z.B. Acetaldehyd, Chlorpropan, </w:t>
            </w:r>
            <w:proofErr w:type="spellStart"/>
            <w:r>
              <w:rPr>
                <w:rFonts w:ascii="Arial" w:hAnsi="Arial"/>
                <w:sz w:val="24"/>
              </w:rPr>
              <w:t>Diethylether</w:t>
            </w:r>
            <w:proofErr w:type="spellEnd"/>
            <w:r>
              <w:rPr>
                <w:rFonts w:ascii="Arial" w:hAnsi="Arial"/>
                <w:sz w:val="24"/>
              </w:rPr>
              <w:t xml:space="preserve">, Schwefelkohlenstoff  </w:t>
            </w:r>
          </w:p>
        </w:tc>
      </w:tr>
      <w:tr w:rsidR="0051610E">
        <w:tc>
          <w:tcPr>
            <w:tcW w:w="10490" w:type="dxa"/>
            <w:gridSpan w:val="7"/>
            <w:tcBorders>
              <w:left w:val="single" w:sz="48" w:space="0" w:color="FFCC00"/>
              <w:bottom w:val="nil"/>
              <w:right w:val="single" w:sz="48" w:space="0" w:color="FFCC00"/>
            </w:tcBorders>
            <w:shd w:val="clear" w:color="FF0000" w:fill="FFCC00"/>
          </w:tcPr>
          <w:p w:rsidR="0051610E" w:rsidRDefault="00376E4A">
            <w:pPr>
              <w:pStyle w:val="berschrift4"/>
              <w:spacing w:before="120"/>
              <w:rPr>
                <w:rFonts w:ascii="Arial" w:hAnsi="Arial"/>
              </w:rPr>
            </w:pPr>
            <w:r>
              <w:rPr>
                <w:rFonts w:ascii="Arial" w:hAnsi="Arial"/>
              </w:rPr>
              <w:t>Gefahr für Mensch und Umwelt</w:t>
            </w:r>
          </w:p>
        </w:tc>
      </w:tr>
      <w:tr w:rsidR="0051610E">
        <w:trPr>
          <w:cantSplit/>
        </w:trPr>
        <w:tc>
          <w:tcPr>
            <w:tcW w:w="1701" w:type="dxa"/>
            <w:gridSpan w:val="3"/>
            <w:tcBorders>
              <w:left w:val="single" w:sz="48" w:space="0" w:color="FFCC00"/>
              <w:bottom w:val="nil"/>
            </w:tcBorders>
            <w:shd w:val="clear" w:color="FF0000" w:fill="auto"/>
          </w:tcPr>
          <w:p w:rsidR="0051610E" w:rsidRDefault="0051610E">
            <w:pPr>
              <w:jc w:val="center"/>
              <w:rPr>
                <w:rFonts w:ascii="Arial" w:hAnsi="Arial"/>
                <w:b/>
                <w:sz w:val="12"/>
              </w:rPr>
            </w:pPr>
          </w:p>
          <w:p w:rsidR="0051610E" w:rsidRDefault="00376E4A">
            <w:pPr>
              <w:jc w:val="center"/>
            </w:pPr>
            <w:r>
              <w:fldChar w:fldCharType="begin"/>
            </w:r>
            <w:r>
              <w:instrText xml:space="preserve"> INCLUDEPICTURE "http://www.unece.org/trans/danger/publi/ghs/pictograms/flamme.gif" \* MERGEFORMATINET </w:instrText>
            </w:r>
            <w:r>
              <w:fldChar w:fldCharType="separate"/>
            </w:r>
            <w:r w:rsidR="00575B45">
              <w:fldChar w:fldCharType="begin"/>
            </w:r>
            <w:r w:rsidR="00575B45">
              <w:instrText xml:space="preserve"> </w:instrText>
            </w:r>
            <w:r w:rsidR="00575B45">
              <w:instrText>INCLUDEPICTURE  "http://www.unece.org/trans/danger/publi/ghs/pictograms/flamme.gif" \* MERGEFORMATINET</w:instrText>
            </w:r>
            <w:r w:rsidR="00575B45">
              <w:instrText xml:space="preserve"> </w:instrText>
            </w:r>
            <w:r w:rsidR="00575B45">
              <w:fldChar w:fldCharType="separate"/>
            </w:r>
            <w:r w:rsidR="00575B45">
              <w:pict>
                <v:shape id="_x0000_i1025" type="#_x0000_t75" alt="" style="width:81.6pt;height:81pt">
                  <v:imagedata r:id="rId8" r:href="rId9"/>
                </v:shape>
              </w:pict>
            </w:r>
            <w:r w:rsidR="00575B45">
              <w:fldChar w:fldCharType="end"/>
            </w:r>
            <w:r>
              <w:fldChar w:fldCharType="end"/>
            </w:r>
          </w:p>
          <w:p w:rsidR="0051610E" w:rsidRDefault="00376E4A">
            <w:pPr>
              <w:jc w:val="center"/>
              <w:rPr>
                <w:rFonts w:ascii="Arial" w:hAnsi="Arial" w:cs="Arial"/>
                <w:b/>
                <w:sz w:val="22"/>
              </w:rPr>
            </w:pPr>
            <w:r>
              <w:rPr>
                <w:rFonts w:ascii="Arial" w:hAnsi="Arial" w:cs="Arial"/>
              </w:rPr>
              <w:t>Gefahr</w:t>
            </w:r>
          </w:p>
        </w:tc>
        <w:tc>
          <w:tcPr>
            <w:tcW w:w="7230" w:type="dxa"/>
            <w:gridSpan w:val="3"/>
            <w:tcBorders>
              <w:bottom w:val="nil"/>
              <w:right w:val="nil"/>
            </w:tcBorders>
            <w:shd w:val="clear" w:color="FF0000" w:fill="auto"/>
          </w:tcPr>
          <w:p w:rsidR="0051610E" w:rsidRDefault="00376E4A">
            <w:pPr>
              <w:numPr>
                <w:ilvl w:val="0"/>
                <w:numId w:val="1"/>
              </w:numPr>
              <w:spacing w:before="120"/>
              <w:ind w:right="72"/>
              <w:rPr>
                <w:rFonts w:ascii="Arial" w:hAnsi="Arial"/>
              </w:rPr>
            </w:pPr>
            <w:r>
              <w:rPr>
                <w:rFonts w:ascii="Arial" w:hAnsi="Arial"/>
              </w:rPr>
              <w:t>Die Flüssigkeiten verdampfen schon bei Raumtemperatur und bilden sehr schnell mit Luft ein explosionsfähiges Gemisch.</w:t>
            </w:r>
          </w:p>
          <w:p w:rsidR="0051610E" w:rsidRDefault="00376E4A">
            <w:pPr>
              <w:numPr>
                <w:ilvl w:val="0"/>
                <w:numId w:val="6"/>
              </w:numPr>
              <w:spacing w:before="120"/>
              <w:ind w:right="72"/>
              <w:rPr>
                <w:rFonts w:ascii="Arial" w:hAnsi="Arial"/>
              </w:rPr>
            </w:pPr>
            <w:r>
              <w:rPr>
                <w:rFonts w:ascii="Arial" w:hAnsi="Arial"/>
              </w:rPr>
              <w:t>Einige Substanzen wirken narkotisch, andere auch gesundheitsschädlich.</w:t>
            </w:r>
          </w:p>
        </w:tc>
        <w:tc>
          <w:tcPr>
            <w:tcW w:w="1559" w:type="dxa"/>
            <w:tcBorders>
              <w:left w:val="nil"/>
              <w:bottom w:val="nil"/>
              <w:right w:val="single" w:sz="48" w:space="0" w:color="FFCC00"/>
            </w:tcBorders>
            <w:shd w:val="clear" w:color="FF0000" w:fill="auto"/>
          </w:tcPr>
          <w:p w:rsidR="0051610E" w:rsidRDefault="0051610E">
            <w:pPr>
              <w:jc w:val="center"/>
              <w:rPr>
                <w:rFonts w:ascii="Arial" w:hAnsi="Arial"/>
                <w:b/>
                <w:sz w:val="16"/>
              </w:rPr>
            </w:pPr>
          </w:p>
          <w:p w:rsidR="0051610E" w:rsidRDefault="0051610E">
            <w:pPr>
              <w:jc w:val="center"/>
            </w:pPr>
          </w:p>
          <w:p w:rsidR="0051610E" w:rsidRDefault="0051610E">
            <w:pPr>
              <w:jc w:val="center"/>
              <w:rPr>
                <w:rFonts w:ascii="Arial" w:hAnsi="Arial" w:cs="Arial"/>
                <w:b/>
                <w:sz w:val="22"/>
              </w:rPr>
            </w:pPr>
          </w:p>
        </w:tc>
      </w:tr>
      <w:tr w:rsidR="0051610E">
        <w:tc>
          <w:tcPr>
            <w:tcW w:w="10490" w:type="dxa"/>
            <w:gridSpan w:val="7"/>
            <w:tcBorders>
              <w:left w:val="single" w:sz="48" w:space="0" w:color="FFCC00"/>
              <w:bottom w:val="nil"/>
              <w:right w:val="single" w:sz="48" w:space="0" w:color="FFCC00"/>
            </w:tcBorders>
            <w:shd w:val="clear" w:color="FF0000" w:fill="FFCC00"/>
          </w:tcPr>
          <w:p w:rsidR="0051610E" w:rsidRDefault="00376E4A">
            <w:pPr>
              <w:pStyle w:val="berschrift4"/>
              <w:rPr>
                <w:rFonts w:ascii="Arial" w:hAnsi="Arial"/>
              </w:rPr>
            </w:pPr>
            <w:r>
              <w:rPr>
                <w:rFonts w:ascii="Arial" w:hAnsi="Arial"/>
              </w:rPr>
              <w:t>Schutzmaßnahmen und Verhaltensregeln</w:t>
            </w:r>
          </w:p>
        </w:tc>
      </w:tr>
      <w:tr w:rsidR="0051610E">
        <w:tc>
          <w:tcPr>
            <w:tcW w:w="1560" w:type="dxa"/>
            <w:tcBorders>
              <w:left w:val="single" w:sz="48" w:space="0" w:color="FFCC00"/>
              <w:bottom w:val="nil"/>
            </w:tcBorders>
            <w:shd w:val="clear" w:color="FF0000" w:fill="auto"/>
          </w:tcPr>
          <w:p w:rsidR="0051610E" w:rsidRDefault="00376E4A">
            <w:pPr>
              <w:pStyle w:val="berschrift4"/>
              <w:spacing w:before="120"/>
              <w:rPr>
                <w:rFonts w:ascii="Arial" w:hAnsi="Arial"/>
                <w:sz w:val="24"/>
              </w:rPr>
            </w:pPr>
            <w:r>
              <w:rPr>
                <w:rFonts w:ascii="Arial" w:hAnsi="Arial"/>
                <w:sz w:val="24"/>
              </w:rPr>
              <w:object w:dxaOrig="1416" w:dyaOrig="1416">
                <v:shape id="_x0000_i1026" type="#_x0000_t75" style="width:65.4pt;height:65.4pt" o:ole="" fillcolor="window">
                  <v:imagedata r:id="rId10" o:title=""/>
                </v:shape>
                <o:OLEObject Type="Embed" ProgID="MSPhotoEd.3" ShapeID="_x0000_i1026" DrawAspect="Content" ObjectID="_1612936772" r:id="rId11"/>
              </w:object>
            </w:r>
            <w:r>
              <w:rPr>
                <w:sz w:val="24"/>
              </w:rPr>
              <w:object w:dxaOrig="1416" w:dyaOrig="1416">
                <v:shape id="_x0000_i1027" type="#_x0000_t75" style="width:62.4pt;height:62.4pt" o:ole="" fillcolor="window">
                  <v:imagedata r:id="rId12" o:title=""/>
                </v:shape>
                <o:OLEObject Type="Embed" ProgID="MSPhotoEd.3" ShapeID="_x0000_i1027" DrawAspect="Content" ObjectID="_1612936773" r:id="rId13"/>
              </w:object>
            </w:r>
          </w:p>
        </w:tc>
        <w:tc>
          <w:tcPr>
            <w:tcW w:w="7371" w:type="dxa"/>
            <w:gridSpan w:val="5"/>
            <w:tcBorders>
              <w:bottom w:val="nil"/>
            </w:tcBorders>
            <w:shd w:val="clear" w:color="FF0000" w:fill="auto"/>
          </w:tcPr>
          <w:p w:rsidR="0051610E" w:rsidRDefault="00376E4A">
            <w:pPr>
              <w:pStyle w:val="Blocktext"/>
              <w:ind w:left="355" w:hanging="355"/>
            </w:pPr>
            <w:r>
              <w:t xml:space="preserve">Handschutz: </w:t>
            </w:r>
            <w:r>
              <w:tab/>
              <w:t>Bei Substanzkontakt sind chemikalienbeständige Handschuhe erforderlich. Naturlatex nicht geeignet. Gegen die Vielzahl dieser Stoffe kann durch ein einziges Handschuhmaterial kein zuverlässiger Schutz erreicht werden. Es muss deshalb grundsätzlich längerer Handschuhkontakt (über 2-3 Minuten) mit diesen Stoffen vermieden werden.</w:t>
            </w:r>
          </w:p>
          <w:p w:rsidR="0051610E" w:rsidRDefault="00376E4A">
            <w:pPr>
              <w:ind w:left="1347" w:hanging="1347"/>
              <w:rPr>
                <w:rFonts w:ascii="Arial" w:hAnsi="Arial"/>
              </w:rPr>
            </w:pPr>
            <w:r>
              <w:rPr>
                <w:rFonts w:ascii="Arial" w:hAnsi="Arial"/>
              </w:rPr>
              <w:t>Augenschutz:</w:t>
            </w:r>
            <w:r>
              <w:rPr>
                <w:rFonts w:ascii="Arial" w:hAnsi="Arial"/>
              </w:rPr>
              <w:tab/>
              <w:t xml:space="preserve">Schutzbrille mit Seitenschutz. </w:t>
            </w:r>
          </w:p>
          <w:p w:rsidR="0051610E" w:rsidRDefault="00376E4A">
            <w:pPr>
              <w:numPr>
                <w:ilvl w:val="0"/>
                <w:numId w:val="15"/>
              </w:numPr>
              <w:spacing w:before="120"/>
              <w:ind w:right="214"/>
              <w:rPr>
                <w:rFonts w:ascii="Arial" w:hAnsi="Arial"/>
              </w:rPr>
            </w:pPr>
            <w:r>
              <w:rPr>
                <w:rFonts w:ascii="Arial" w:hAnsi="Arial"/>
              </w:rPr>
              <w:t xml:space="preserve">Von Zündquellen, offenen Flammen und Wärmequellen fernhalten. </w:t>
            </w:r>
          </w:p>
          <w:p w:rsidR="0051610E" w:rsidRDefault="00376E4A">
            <w:pPr>
              <w:pStyle w:val="Textkrper3"/>
              <w:numPr>
                <w:ilvl w:val="0"/>
                <w:numId w:val="15"/>
              </w:numPr>
              <w:spacing w:before="0"/>
              <w:ind w:right="356"/>
            </w:pPr>
            <w:r>
              <w:t>Maßnahmen gegen elektrostatische Aufladung treffen.</w:t>
            </w:r>
          </w:p>
          <w:p w:rsidR="0051610E" w:rsidRDefault="00376E4A">
            <w:pPr>
              <w:numPr>
                <w:ilvl w:val="0"/>
                <w:numId w:val="15"/>
              </w:numPr>
              <w:ind w:right="214"/>
            </w:pPr>
            <w:r>
              <w:rPr>
                <w:rFonts w:ascii="Arial" w:hAnsi="Arial"/>
              </w:rPr>
              <w:t>Verspritzen vermeiden, nur gekennzeichnete Gefäße benutzen.</w:t>
            </w:r>
          </w:p>
          <w:p w:rsidR="0051610E" w:rsidRDefault="00376E4A">
            <w:pPr>
              <w:numPr>
                <w:ilvl w:val="0"/>
                <w:numId w:val="15"/>
              </w:numPr>
              <w:ind w:right="214"/>
              <w:rPr>
                <w:rFonts w:ascii="Arial" w:hAnsi="Arial"/>
              </w:rPr>
            </w:pPr>
            <w:r>
              <w:rPr>
                <w:rFonts w:ascii="Arial" w:hAnsi="Arial"/>
              </w:rPr>
              <w:t>Behälter dicht geschlossen an einem gut gelüfteten Ort aufbewahren.</w:t>
            </w:r>
          </w:p>
        </w:tc>
        <w:tc>
          <w:tcPr>
            <w:tcW w:w="1559" w:type="dxa"/>
            <w:tcBorders>
              <w:bottom w:val="nil"/>
              <w:right w:val="single" w:sz="48" w:space="0" w:color="FFCC00"/>
            </w:tcBorders>
            <w:shd w:val="clear" w:color="FF0000" w:fill="auto"/>
          </w:tcPr>
          <w:p w:rsidR="0051610E" w:rsidRDefault="00575B45">
            <w:pPr>
              <w:spacing w:before="120"/>
              <w:ind w:left="-70"/>
              <w:jc w:val="center"/>
              <w:rPr>
                <w:rFonts w:ascii="Arial" w:hAnsi="Arial"/>
              </w:rPr>
            </w:pPr>
            <w:r>
              <w:rPr>
                <w:rFonts w:ascii="Arial" w:hAnsi="Arial"/>
              </w:rPr>
              <w:pict>
                <v:shape id="_x0000_i1028" type="#_x0000_t75" style="width:1in;height:1in" fillcolor="window">
                  <v:imagedata r:id="rId14" o:title="Feuer-v"/>
                </v:shape>
              </w:pict>
            </w:r>
          </w:p>
          <w:p w:rsidR="0051610E" w:rsidRDefault="0051610E">
            <w:pPr>
              <w:jc w:val="center"/>
              <w:rPr>
                <w:rFonts w:ascii="Arial" w:hAnsi="Arial"/>
                <w:b/>
                <w:sz w:val="28"/>
              </w:rPr>
            </w:pPr>
          </w:p>
        </w:tc>
      </w:tr>
      <w:tr w:rsidR="0051610E">
        <w:trPr>
          <w:cantSplit/>
        </w:trPr>
        <w:tc>
          <w:tcPr>
            <w:tcW w:w="10490" w:type="dxa"/>
            <w:gridSpan w:val="7"/>
            <w:tcBorders>
              <w:left w:val="single" w:sz="48" w:space="0" w:color="FFCC00"/>
              <w:bottom w:val="nil"/>
              <w:right w:val="single" w:sz="48" w:space="0" w:color="FFCC00"/>
            </w:tcBorders>
            <w:shd w:val="clear" w:color="FF0000" w:fill="auto"/>
          </w:tcPr>
          <w:p w:rsidR="0051610E" w:rsidRDefault="00376E4A">
            <w:pPr>
              <w:numPr>
                <w:ilvl w:val="0"/>
                <w:numId w:val="17"/>
              </w:numPr>
              <w:spacing w:before="120"/>
              <w:rPr>
                <w:rFonts w:ascii="Arial" w:hAnsi="Arial"/>
              </w:rPr>
            </w:pPr>
            <w:r>
              <w:rPr>
                <w:rFonts w:ascii="Arial" w:hAnsi="Arial" w:cs="Arial"/>
              </w:rPr>
              <w:t>Sollen hochentzündliche flüssige Stoffe in Kühlschränken oder Kühltruhen aufbewahrt</w:t>
            </w:r>
            <w:r>
              <w:rPr>
                <w:rFonts w:ascii="Arial" w:hAnsi="Arial" w:cs="Arial"/>
                <w:b/>
                <w:bCs/>
              </w:rPr>
              <w:t xml:space="preserve"> </w:t>
            </w:r>
            <w:r>
              <w:rPr>
                <w:rFonts w:ascii="Arial" w:hAnsi="Arial" w:cs="Arial"/>
              </w:rPr>
              <w:t>werden, dürfen in deren Innenräumen keine Zündquellen vorhanden sein.</w:t>
            </w:r>
            <w:r>
              <w:rPr>
                <w:rFonts w:ascii="Arial" w:hAnsi="Arial"/>
              </w:rPr>
              <w:t xml:space="preserve"> </w:t>
            </w:r>
          </w:p>
          <w:p w:rsidR="0051610E" w:rsidRDefault="00376E4A">
            <w:pPr>
              <w:numPr>
                <w:ilvl w:val="0"/>
                <w:numId w:val="17"/>
              </w:numPr>
              <w:rPr>
                <w:rFonts w:ascii="Arial" w:hAnsi="Arial"/>
              </w:rPr>
            </w:pPr>
            <w:r>
              <w:rPr>
                <w:rFonts w:ascii="Arial" w:hAnsi="Arial"/>
              </w:rPr>
              <w:t>Machen Sie sich vor Beginn der Arbeiten mit den notwendigen Sicherheitseinrichtungen vertraut, d.h. Feuerlöscher, Löschdecken, Notdusche, Notruf etc.</w:t>
            </w:r>
            <w:r>
              <w:t xml:space="preserve"> </w:t>
            </w:r>
          </w:p>
          <w:p w:rsidR="0051610E" w:rsidRDefault="00376E4A">
            <w:pPr>
              <w:numPr>
                <w:ilvl w:val="0"/>
                <w:numId w:val="17"/>
              </w:numPr>
              <w:rPr>
                <w:rFonts w:ascii="Arial" w:hAnsi="Arial"/>
              </w:rPr>
            </w:pPr>
            <w:r>
              <w:rPr>
                <w:rFonts w:ascii="Arial" w:hAnsi="Arial" w:cs="Arial"/>
              </w:rPr>
              <w:t>Hochentzündliche flüssige Stoffe</w:t>
            </w:r>
            <w:r>
              <w:rPr>
                <w:rFonts w:ascii="Arial" w:hAnsi="Arial"/>
              </w:rPr>
              <w:t xml:space="preserve"> dürfen an Arbeitsplätzen für den Handgebrauch nur in Gefäßen von höchstens 1 Liter Fassungsvermögen aufbewahrt werden.</w:t>
            </w:r>
          </w:p>
        </w:tc>
      </w:tr>
      <w:tr w:rsidR="0051610E">
        <w:tc>
          <w:tcPr>
            <w:tcW w:w="10490" w:type="dxa"/>
            <w:gridSpan w:val="7"/>
            <w:tcBorders>
              <w:left w:val="single" w:sz="48" w:space="0" w:color="FFCC00"/>
              <w:bottom w:val="nil"/>
              <w:right w:val="single" w:sz="48" w:space="0" w:color="FFCC00"/>
            </w:tcBorders>
            <w:shd w:val="clear" w:color="FF0000" w:fill="FFCC00"/>
          </w:tcPr>
          <w:p w:rsidR="0051610E" w:rsidRDefault="00376E4A">
            <w:pPr>
              <w:pStyle w:val="berschrift4"/>
              <w:keepNext w:val="0"/>
              <w:rPr>
                <w:rFonts w:ascii="Arial" w:hAnsi="Arial"/>
              </w:rPr>
            </w:pPr>
            <w:r>
              <w:rPr>
                <w:rFonts w:ascii="Arial" w:hAnsi="Arial"/>
              </w:rPr>
              <w:t>Verhalten im Gefahrfall</w:t>
            </w:r>
          </w:p>
        </w:tc>
      </w:tr>
      <w:tr w:rsidR="0051610E">
        <w:trPr>
          <w:cantSplit/>
        </w:trPr>
        <w:tc>
          <w:tcPr>
            <w:tcW w:w="10490" w:type="dxa"/>
            <w:gridSpan w:val="7"/>
            <w:tcBorders>
              <w:left w:val="single" w:sz="48" w:space="0" w:color="FFCC00"/>
              <w:bottom w:val="nil"/>
              <w:right w:val="single" w:sz="48" w:space="0" w:color="FFCC00"/>
            </w:tcBorders>
            <w:shd w:val="clear" w:color="FF0000" w:fill="auto"/>
          </w:tcPr>
          <w:p w:rsidR="0051610E" w:rsidRDefault="00376E4A">
            <w:pPr>
              <w:keepLines/>
              <w:numPr>
                <w:ilvl w:val="0"/>
                <w:numId w:val="1"/>
              </w:numPr>
              <w:spacing w:line="240" w:lineRule="exact"/>
              <w:ind w:left="284" w:hanging="284"/>
              <w:rPr>
                <w:rFonts w:ascii="Arial" w:hAnsi="Arial"/>
              </w:rPr>
            </w:pPr>
            <w:r>
              <w:rPr>
                <w:rFonts w:ascii="Arial" w:hAnsi="Arial"/>
              </w:rPr>
              <w:t xml:space="preserve">Im Gefahrenfall alle Anwesenden warnen, betroffenen Bereich räumen. </w:t>
            </w:r>
          </w:p>
          <w:p w:rsidR="0051610E" w:rsidRDefault="00376E4A">
            <w:pPr>
              <w:keepLines/>
              <w:numPr>
                <w:ilvl w:val="0"/>
                <w:numId w:val="1"/>
              </w:numPr>
              <w:spacing w:line="240" w:lineRule="exact"/>
              <w:ind w:left="284" w:hanging="284"/>
              <w:rPr>
                <w:rFonts w:ascii="Arial" w:hAnsi="Arial"/>
              </w:rPr>
            </w:pPr>
            <w:r>
              <w:rPr>
                <w:rFonts w:ascii="Arial" w:hAnsi="Arial"/>
              </w:rPr>
              <w:t>Bei Beseitigen von Gefahr Schutzausrüstung tragen. In Ausnahmesituationen (z.B. unbeabsichtigte Stofffreisetzung mit (potenzieller) Luftgrenzwertüberschreitung) ist das Tragen von Atemschutz erforderlich. (entsprechenden Filter benutzen)</w:t>
            </w:r>
          </w:p>
          <w:p w:rsidR="0051610E" w:rsidRDefault="00376E4A">
            <w:pPr>
              <w:keepLines/>
              <w:numPr>
                <w:ilvl w:val="0"/>
                <w:numId w:val="1"/>
              </w:numPr>
              <w:spacing w:line="240" w:lineRule="exact"/>
              <w:ind w:left="284" w:hanging="284"/>
              <w:rPr>
                <w:rFonts w:ascii="Arial" w:hAnsi="Arial"/>
              </w:rPr>
            </w:pPr>
            <w:r>
              <w:rPr>
                <w:rFonts w:ascii="Arial" w:hAnsi="Arial"/>
              </w:rPr>
              <w:t>Verschüttete Flüssigkeiten mit einem Bindemittel aufnehmen und vorschriftsmäßig entsorgen.</w:t>
            </w:r>
            <w:r>
              <w:rPr>
                <w:rFonts w:ascii="Arial" w:hAnsi="Arial"/>
                <w:i/>
              </w:rPr>
              <w:t xml:space="preserve"> </w:t>
            </w:r>
          </w:p>
          <w:p w:rsidR="0051610E" w:rsidRDefault="00376E4A">
            <w:pPr>
              <w:keepLines/>
              <w:numPr>
                <w:ilvl w:val="0"/>
                <w:numId w:val="1"/>
              </w:numPr>
              <w:spacing w:line="240" w:lineRule="exact"/>
              <w:ind w:left="284" w:hanging="284"/>
              <w:rPr>
                <w:b/>
              </w:rPr>
            </w:pPr>
            <w:r>
              <w:rPr>
                <w:rFonts w:ascii="Arial" w:hAnsi="Arial"/>
              </w:rPr>
              <w:t>Bei kleinen Entstehungsbränden mit CO</w:t>
            </w:r>
            <w:r>
              <w:rPr>
                <w:rFonts w:ascii="Arial" w:hAnsi="Arial"/>
                <w:vertAlign w:val="subscript"/>
              </w:rPr>
              <w:t>2</w:t>
            </w:r>
            <w:r>
              <w:rPr>
                <w:rFonts w:ascii="Arial" w:hAnsi="Arial"/>
              </w:rPr>
              <w:t>, Pulverlöscher oder Wasser im Sprühstrahl (kein Vollstrahl einsetzen) löschen.</w:t>
            </w:r>
          </w:p>
        </w:tc>
      </w:tr>
      <w:tr w:rsidR="0051610E">
        <w:tc>
          <w:tcPr>
            <w:tcW w:w="7571" w:type="dxa"/>
            <w:gridSpan w:val="5"/>
            <w:tcBorders>
              <w:left w:val="single" w:sz="48" w:space="0" w:color="FFCC00"/>
              <w:bottom w:val="nil"/>
            </w:tcBorders>
            <w:shd w:val="clear" w:color="FF0000" w:fill="FFCC00"/>
          </w:tcPr>
          <w:p w:rsidR="0051610E" w:rsidRDefault="00376E4A">
            <w:pPr>
              <w:pStyle w:val="berschrift4"/>
              <w:keepNext w:val="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51610E" w:rsidRDefault="00376E4A">
            <w:pPr>
              <w:pStyle w:val="berschrift4"/>
              <w:keepNext w:val="0"/>
              <w:rPr>
                <w:rFonts w:ascii="Arial" w:hAnsi="Arial"/>
                <w:b w:val="0"/>
              </w:rPr>
            </w:pPr>
            <w:r>
              <w:rPr>
                <w:rFonts w:ascii="Arial" w:hAnsi="Arial"/>
              </w:rPr>
              <w:t>NOTRUF 112</w:t>
            </w:r>
          </w:p>
        </w:tc>
      </w:tr>
      <w:tr w:rsidR="0051610E">
        <w:trPr>
          <w:trHeight w:val="256"/>
        </w:trPr>
        <w:tc>
          <w:tcPr>
            <w:tcW w:w="1617" w:type="dxa"/>
            <w:gridSpan w:val="2"/>
            <w:tcBorders>
              <w:left w:val="single" w:sz="48" w:space="0" w:color="FFCC00"/>
              <w:bottom w:val="nil"/>
            </w:tcBorders>
            <w:shd w:val="clear" w:color="FF0000" w:fill="auto"/>
          </w:tcPr>
          <w:p w:rsidR="0051610E" w:rsidRDefault="00376E4A">
            <w:pPr>
              <w:pStyle w:val="berschrift4"/>
              <w:keepNext w:val="0"/>
              <w:rPr>
                <w:rFonts w:ascii="Arial" w:hAnsi="Arial"/>
                <w:sz w:val="22"/>
              </w:rPr>
            </w:pPr>
            <w:r>
              <w:rPr>
                <w:rFonts w:ascii="Arial" w:hAnsi="Arial"/>
              </w:rPr>
              <w:object w:dxaOrig="3360" w:dyaOrig="4080">
                <v:shape id="_x0000_i1029" type="#_x0000_t75" style="width:58.8pt;height:71.4pt" o:ole="">
                  <v:imagedata r:id="rId15" o:title=""/>
                </v:shape>
                <o:OLEObject Type="Embed" ProgID="PBrush" ShapeID="_x0000_i1029" DrawAspect="Content" ObjectID="_1612936774" r:id="rId16"/>
              </w:object>
            </w:r>
          </w:p>
        </w:tc>
        <w:tc>
          <w:tcPr>
            <w:tcW w:w="8873" w:type="dxa"/>
            <w:gridSpan w:val="5"/>
            <w:tcBorders>
              <w:bottom w:val="nil"/>
              <w:right w:val="single" w:sz="48" w:space="0" w:color="FFCC00"/>
            </w:tcBorders>
            <w:shd w:val="clear" w:color="FF0000" w:fill="auto"/>
          </w:tcPr>
          <w:p w:rsidR="0051610E" w:rsidRDefault="00376E4A">
            <w:pPr>
              <w:pStyle w:val="Blocktext"/>
              <w:ind w:left="2055" w:right="72" w:hanging="1984"/>
            </w:pPr>
            <w:r>
              <w:t xml:space="preserve">Nach Hautkontakt: </w:t>
            </w:r>
            <w:r>
              <w:tab/>
              <w:t>Mit reichlich Wasser abwaschen. Benetzte Kleidung entfernen.</w:t>
            </w:r>
          </w:p>
          <w:p w:rsidR="0051610E" w:rsidRDefault="00376E4A">
            <w:pPr>
              <w:pStyle w:val="Blocktext"/>
              <w:spacing w:before="0"/>
              <w:ind w:left="2055" w:hanging="1984"/>
            </w:pPr>
            <w:r>
              <w:t>Nach Augenkontakt:</w:t>
            </w:r>
            <w:r>
              <w:tab/>
              <w:t>Bei gut geöffnetem Lidspalt mindestens 10 Minuten unter fließendem kalten Wasser spülen (Augendusche).</w:t>
            </w:r>
          </w:p>
          <w:p w:rsidR="0051610E" w:rsidRDefault="00376E4A">
            <w:pPr>
              <w:pStyle w:val="Blocktext"/>
              <w:spacing w:before="0"/>
              <w:ind w:left="2055" w:hanging="1984"/>
            </w:pPr>
            <w:r>
              <w:t>Nach Einatmen:</w:t>
            </w:r>
            <w:r>
              <w:tab/>
              <w:t xml:space="preserve">Frischluft. </w:t>
            </w:r>
            <w:proofErr w:type="spellStart"/>
            <w:r>
              <w:t>Auxilon</w:t>
            </w:r>
            <w:proofErr w:type="spellEnd"/>
            <w:r>
              <w:t xml:space="preserve">-Dosier-Aerosol tief einatmen </w:t>
            </w:r>
            <w:proofErr w:type="gramStart"/>
            <w:r>
              <w:t>lassen.</w:t>
            </w:r>
            <w:r>
              <w:rPr>
                <w:rFonts w:cs="Arial"/>
              </w:rPr>
              <w:t>→</w:t>
            </w:r>
            <w:proofErr w:type="gramEnd"/>
            <w:r>
              <w:t xml:space="preserve"> Arzt.</w:t>
            </w:r>
          </w:p>
          <w:p w:rsidR="0051610E" w:rsidRDefault="00376E4A">
            <w:pPr>
              <w:pStyle w:val="Blocktext"/>
              <w:spacing w:before="0"/>
              <w:ind w:left="2055" w:hanging="1984"/>
            </w:pPr>
            <w:r>
              <w:t>Nach Verschlucken:</w:t>
            </w:r>
            <w:r>
              <w:tab/>
              <w:t>Viel Wasser trinken, falls vorhanden mit Aktivkohle-Zusatz.</w:t>
            </w:r>
          </w:p>
          <w:p w:rsidR="0051610E" w:rsidRDefault="00376E4A">
            <w:pPr>
              <w:pStyle w:val="Blocktext"/>
              <w:spacing w:before="0"/>
              <w:ind w:left="2055" w:hanging="1984"/>
            </w:pPr>
            <w:r>
              <w:t>Bei Unfall oder Unwohlsein sofort Arzt hinzuziehen (wenn möglich das Etikett vorzeigen).</w:t>
            </w:r>
          </w:p>
        </w:tc>
      </w:tr>
      <w:tr w:rsidR="0051610E">
        <w:tc>
          <w:tcPr>
            <w:tcW w:w="10490" w:type="dxa"/>
            <w:gridSpan w:val="7"/>
            <w:tcBorders>
              <w:left w:val="single" w:sz="48" w:space="0" w:color="FFCC00"/>
              <w:bottom w:val="nil"/>
              <w:right w:val="single" w:sz="48" w:space="0" w:color="FFCC00"/>
            </w:tcBorders>
            <w:shd w:val="clear" w:color="FF0000" w:fill="FFCC00"/>
          </w:tcPr>
          <w:p w:rsidR="0051610E" w:rsidRDefault="00376E4A">
            <w:pPr>
              <w:pStyle w:val="berschrift4"/>
              <w:keepNext w:val="0"/>
              <w:rPr>
                <w:rFonts w:ascii="Arial" w:hAnsi="Arial"/>
              </w:rPr>
            </w:pPr>
            <w:r>
              <w:rPr>
                <w:rFonts w:ascii="Arial" w:hAnsi="Arial"/>
              </w:rPr>
              <w:t>Sachgerechte Entsorgung</w:t>
            </w:r>
          </w:p>
        </w:tc>
      </w:tr>
      <w:tr w:rsidR="0051610E">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51610E" w:rsidRDefault="00376E4A">
            <w:pPr>
              <w:pStyle w:val="Kopfzeile"/>
              <w:widowControl w:val="0"/>
              <w:tabs>
                <w:tab w:val="clear" w:pos="4536"/>
                <w:tab w:val="clear" w:pos="9072"/>
              </w:tabs>
              <w:spacing w:line="240" w:lineRule="exact"/>
              <w:rPr>
                <w:rFonts w:ascii="Arial" w:hAnsi="Arial"/>
              </w:rPr>
            </w:pPr>
            <w:r>
              <w:rPr>
                <w:rFonts w:ascii="Arial" w:hAnsi="Arial"/>
              </w:rPr>
              <w:t xml:space="preserve">Lösungsmittelabfall ist umgehend zu entsorgen. Abfälle in geschlossenen Behältern sammeln und nach Anweisung des Abfallbeauftragten über das zentrale Zwischenlager Tel.: 798 - 29392 entsorgen. </w:t>
            </w:r>
          </w:p>
        </w:tc>
      </w:tr>
    </w:tbl>
    <w:p w:rsidR="0051610E" w:rsidRDefault="0051610E">
      <w:pPr>
        <w:ind w:right="-1"/>
        <w:rPr>
          <w:sz w:val="2"/>
        </w:rPr>
      </w:pPr>
    </w:p>
    <w:sectPr w:rsidR="0051610E">
      <w:headerReference w:type="even" r:id="rId17"/>
      <w:headerReference w:type="default" r:id="rId18"/>
      <w:footerReference w:type="first" r:id="rId19"/>
      <w:pgSz w:w="11906" w:h="16838" w:code="9"/>
      <w:pgMar w:top="465" w:right="566" w:bottom="709" w:left="1474" w:header="720" w:footer="11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0E" w:rsidRDefault="00376E4A">
      <w:r>
        <w:separator/>
      </w:r>
    </w:p>
  </w:endnote>
  <w:endnote w:type="continuationSeparator" w:id="0">
    <w:p w:rsidR="0051610E" w:rsidRDefault="0037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0E" w:rsidRDefault="00376E4A">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0E" w:rsidRDefault="00376E4A">
      <w:r>
        <w:separator/>
      </w:r>
    </w:p>
  </w:footnote>
  <w:footnote w:type="continuationSeparator" w:id="0">
    <w:p w:rsidR="0051610E" w:rsidRDefault="0037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0E" w:rsidRDefault="00376E4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1610E" w:rsidRDefault="0051610E">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0E" w:rsidRDefault="00376E4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1610E" w:rsidRDefault="0051610E">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9B676F"/>
    <w:multiLevelType w:val="hybridMultilevel"/>
    <w:tmpl w:val="A6BAC55E"/>
    <w:lvl w:ilvl="0" w:tplc="4D60F354">
      <w:start w:val="1"/>
      <w:numFmt w:val="decimal"/>
      <w:lvlText w:val="%1."/>
      <w:lvlJc w:val="left"/>
      <w:pPr>
        <w:tabs>
          <w:tab w:val="num" w:pos="720"/>
        </w:tabs>
        <w:ind w:left="720" w:hanging="360"/>
      </w:pPr>
    </w:lvl>
    <w:lvl w:ilvl="1" w:tplc="78585B9C" w:tentative="1">
      <w:start w:val="1"/>
      <w:numFmt w:val="decimal"/>
      <w:lvlText w:val="%2."/>
      <w:lvlJc w:val="left"/>
      <w:pPr>
        <w:tabs>
          <w:tab w:val="num" w:pos="1440"/>
        </w:tabs>
        <w:ind w:left="1440" w:hanging="360"/>
      </w:pPr>
    </w:lvl>
    <w:lvl w:ilvl="2" w:tplc="C2A85980" w:tentative="1">
      <w:start w:val="1"/>
      <w:numFmt w:val="decimal"/>
      <w:lvlText w:val="%3."/>
      <w:lvlJc w:val="left"/>
      <w:pPr>
        <w:tabs>
          <w:tab w:val="num" w:pos="2160"/>
        </w:tabs>
        <w:ind w:left="2160" w:hanging="360"/>
      </w:pPr>
    </w:lvl>
    <w:lvl w:ilvl="3" w:tplc="DB003790" w:tentative="1">
      <w:start w:val="1"/>
      <w:numFmt w:val="decimal"/>
      <w:lvlText w:val="%4."/>
      <w:lvlJc w:val="left"/>
      <w:pPr>
        <w:tabs>
          <w:tab w:val="num" w:pos="2880"/>
        </w:tabs>
        <w:ind w:left="2880" w:hanging="360"/>
      </w:pPr>
    </w:lvl>
    <w:lvl w:ilvl="4" w:tplc="017C37D4" w:tentative="1">
      <w:start w:val="1"/>
      <w:numFmt w:val="decimal"/>
      <w:lvlText w:val="%5."/>
      <w:lvlJc w:val="left"/>
      <w:pPr>
        <w:tabs>
          <w:tab w:val="num" w:pos="3600"/>
        </w:tabs>
        <w:ind w:left="3600" w:hanging="360"/>
      </w:pPr>
    </w:lvl>
    <w:lvl w:ilvl="5" w:tplc="4922EA4A" w:tentative="1">
      <w:start w:val="1"/>
      <w:numFmt w:val="decimal"/>
      <w:lvlText w:val="%6."/>
      <w:lvlJc w:val="left"/>
      <w:pPr>
        <w:tabs>
          <w:tab w:val="num" w:pos="4320"/>
        </w:tabs>
        <w:ind w:left="4320" w:hanging="360"/>
      </w:pPr>
    </w:lvl>
    <w:lvl w:ilvl="6" w:tplc="BF9447FC" w:tentative="1">
      <w:start w:val="1"/>
      <w:numFmt w:val="decimal"/>
      <w:lvlText w:val="%7."/>
      <w:lvlJc w:val="left"/>
      <w:pPr>
        <w:tabs>
          <w:tab w:val="num" w:pos="5040"/>
        </w:tabs>
        <w:ind w:left="5040" w:hanging="360"/>
      </w:pPr>
    </w:lvl>
    <w:lvl w:ilvl="7" w:tplc="22C2B38C" w:tentative="1">
      <w:start w:val="1"/>
      <w:numFmt w:val="decimal"/>
      <w:lvlText w:val="%8."/>
      <w:lvlJc w:val="left"/>
      <w:pPr>
        <w:tabs>
          <w:tab w:val="num" w:pos="5760"/>
        </w:tabs>
        <w:ind w:left="5760" w:hanging="360"/>
      </w:pPr>
    </w:lvl>
    <w:lvl w:ilvl="8" w:tplc="72C22026" w:tentative="1">
      <w:start w:val="1"/>
      <w:numFmt w:val="decimal"/>
      <w:lvlText w:val="%9."/>
      <w:lvlJc w:val="left"/>
      <w:pPr>
        <w:tabs>
          <w:tab w:val="num" w:pos="6480"/>
        </w:tabs>
        <w:ind w:left="6480" w:hanging="360"/>
      </w:p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35AF2C03"/>
    <w:multiLevelType w:val="hybridMultilevel"/>
    <w:tmpl w:val="55003BC2"/>
    <w:lvl w:ilvl="0" w:tplc="73F4F984">
      <w:start w:val="1"/>
      <w:numFmt w:val="bullet"/>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4652044C"/>
    <w:multiLevelType w:val="hybridMultilevel"/>
    <w:tmpl w:val="2C2E5F16"/>
    <w:lvl w:ilvl="0" w:tplc="31EEF440">
      <w:start w:val="1"/>
      <w:numFmt w:val="bullet"/>
      <w:lvlText w:val=""/>
      <w:lvlJc w:val="left"/>
      <w:pPr>
        <w:tabs>
          <w:tab w:val="num" w:pos="720"/>
        </w:tabs>
        <w:ind w:left="720" w:hanging="360"/>
      </w:pPr>
      <w:rPr>
        <w:rFonts w:ascii="Symbol" w:hAnsi="Symbol" w:hint="default"/>
        <w:sz w:val="20"/>
      </w:rPr>
    </w:lvl>
    <w:lvl w:ilvl="1" w:tplc="F0BCEDD0" w:tentative="1">
      <w:start w:val="1"/>
      <w:numFmt w:val="bullet"/>
      <w:lvlText w:val="o"/>
      <w:lvlJc w:val="left"/>
      <w:pPr>
        <w:tabs>
          <w:tab w:val="num" w:pos="1440"/>
        </w:tabs>
        <w:ind w:left="1440" w:hanging="360"/>
      </w:pPr>
      <w:rPr>
        <w:rFonts w:ascii="Courier New" w:hAnsi="Courier New" w:hint="default"/>
        <w:sz w:val="20"/>
      </w:rPr>
    </w:lvl>
    <w:lvl w:ilvl="2" w:tplc="CD5822BC" w:tentative="1">
      <w:start w:val="1"/>
      <w:numFmt w:val="bullet"/>
      <w:lvlText w:val=""/>
      <w:lvlJc w:val="left"/>
      <w:pPr>
        <w:tabs>
          <w:tab w:val="num" w:pos="2160"/>
        </w:tabs>
        <w:ind w:left="2160" w:hanging="360"/>
      </w:pPr>
      <w:rPr>
        <w:rFonts w:ascii="Wingdings" w:hAnsi="Wingdings" w:hint="default"/>
        <w:sz w:val="20"/>
      </w:rPr>
    </w:lvl>
    <w:lvl w:ilvl="3" w:tplc="D9BED910" w:tentative="1">
      <w:start w:val="1"/>
      <w:numFmt w:val="bullet"/>
      <w:lvlText w:val=""/>
      <w:lvlJc w:val="left"/>
      <w:pPr>
        <w:tabs>
          <w:tab w:val="num" w:pos="2880"/>
        </w:tabs>
        <w:ind w:left="2880" w:hanging="360"/>
      </w:pPr>
      <w:rPr>
        <w:rFonts w:ascii="Wingdings" w:hAnsi="Wingdings" w:hint="default"/>
        <w:sz w:val="20"/>
      </w:rPr>
    </w:lvl>
    <w:lvl w:ilvl="4" w:tplc="E31C674C" w:tentative="1">
      <w:start w:val="1"/>
      <w:numFmt w:val="bullet"/>
      <w:lvlText w:val=""/>
      <w:lvlJc w:val="left"/>
      <w:pPr>
        <w:tabs>
          <w:tab w:val="num" w:pos="3600"/>
        </w:tabs>
        <w:ind w:left="3600" w:hanging="360"/>
      </w:pPr>
      <w:rPr>
        <w:rFonts w:ascii="Wingdings" w:hAnsi="Wingdings" w:hint="default"/>
        <w:sz w:val="20"/>
      </w:rPr>
    </w:lvl>
    <w:lvl w:ilvl="5" w:tplc="4C0827DC" w:tentative="1">
      <w:start w:val="1"/>
      <w:numFmt w:val="bullet"/>
      <w:lvlText w:val=""/>
      <w:lvlJc w:val="left"/>
      <w:pPr>
        <w:tabs>
          <w:tab w:val="num" w:pos="4320"/>
        </w:tabs>
        <w:ind w:left="4320" w:hanging="360"/>
      </w:pPr>
      <w:rPr>
        <w:rFonts w:ascii="Wingdings" w:hAnsi="Wingdings" w:hint="default"/>
        <w:sz w:val="20"/>
      </w:rPr>
    </w:lvl>
    <w:lvl w:ilvl="6" w:tplc="7CE4BADC" w:tentative="1">
      <w:start w:val="1"/>
      <w:numFmt w:val="bullet"/>
      <w:lvlText w:val=""/>
      <w:lvlJc w:val="left"/>
      <w:pPr>
        <w:tabs>
          <w:tab w:val="num" w:pos="5040"/>
        </w:tabs>
        <w:ind w:left="5040" w:hanging="360"/>
      </w:pPr>
      <w:rPr>
        <w:rFonts w:ascii="Wingdings" w:hAnsi="Wingdings" w:hint="default"/>
        <w:sz w:val="20"/>
      </w:rPr>
    </w:lvl>
    <w:lvl w:ilvl="7" w:tplc="FE905F40" w:tentative="1">
      <w:start w:val="1"/>
      <w:numFmt w:val="bullet"/>
      <w:lvlText w:val=""/>
      <w:lvlJc w:val="left"/>
      <w:pPr>
        <w:tabs>
          <w:tab w:val="num" w:pos="5760"/>
        </w:tabs>
        <w:ind w:left="5760" w:hanging="360"/>
      </w:pPr>
      <w:rPr>
        <w:rFonts w:ascii="Wingdings" w:hAnsi="Wingdings" w:hint="default"/>
        <w:sz w:val="20"/>
      </w:rPr>
    </w:lvl>
    <w:lvl w:ilvl="8" w:tplc="9CD2BA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7B565DB"/>
    <w:multiLevelType w:val="hybridMultilevel"/>
    <w:tmpl w:val="8D6027DC"/>
    <w:lvl w:ilvl="0" w:tplc="73F4F984">
      <w:start w:val="1"/>
      <w:numFmt w:val="bullet"/>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77405"/>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F5310FF"/>
    <w:multiLevelType w:val="hybridMultilevel"/>
    <w:tmpl w:val="92A66A42"/>
    <w:lvl w:ilvl="0" w:tplc="73F4F984">
      <w:start w:val="1"/>
      <w:numFmt w:val="bullet"/>
      <w:lvlText w:val="–"/>
      <w:lvlJc w:val="left"/>
      <w:pPr>
        <w:tabs>
          <w:tab w:val="num" w:pos="290"/>
        </w:tabs>
        <w:ind w:left="290" w:hanging="360"/>
      </w:pPr>
      <w:rPr>
        <w:rFonts w:ascii="Times New Roman" w:hAnsi="Times New Roman" w:hint="default"/>
        <w:sz w:val="16"/>
      </w:rPr>
    </w:lvl>
    <w:lvl w:ilvl="1" w:tplc="04070003" w:tentative="1">
      <w:start w:val="1"/>
      <w:numFmt w:val="bullet"/>
      <w:lvlText w:val="o"/>
      <w:lvlJc w:val="left"/>
      <w:pPr>
        <w:tabs>
          <w:tab w:val="num" w:pos="1370"/>
        </w:tabs>
        <w:ind w:left="1370" w:hanging="360"/>
      </w:pPr>
      <w:rPr>
        <w:rFonts w:ascii="Courier New" w:hAnsi="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6"/>
  </w:num>
  <w:num w:numId="13">
    <w:abstractNumId w:val="5"/>
  </w:num>
  <w:num w:numId="14">
    <w:abstractNumId w:val="1"/>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4A"/>
    <w:rsid w:val="00376E4A"/>
    <w:rsid w:val="0051610E"/>
    <w:rsid w:val="0057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f90" strokecolor="#fc0"/>
    </o:shapedefaults>
    <o:shapelayout v:ext="edit">
      <o:idmap v:ext="edit" data="1"/>
    </o:shapelayout>
  </w:shapeDefaults>
  <w:decimalSymbol w:val=","/>
  <w:listSeparator w:val=";"/>
  <w15:chartTrackingRefBased/>
  <w15:docId w15:val="{65CF5D7A-08FF-4057-82D6-B3437ED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 w:type="paragraph" w:styleId="StandardWeb">
    <w:name w:val="Normal (Web)"/>
    <w:basedOn w:val="Standard"/>
    <w:semiHidden/>
    <w:pPr>
      <w:spacing w:before="100" w:beforeAutospacing="1" w:after="100" w:afterAutospacing="1"/>
    </w:pPr>
    <w:rPr>
      <w:rFonts w:ascii="Times New Roman" w:hAnsi="Times New Roman"/>
      <w:sz w:val="24"/>
      <w:szCs w:val="24"/>
    </w:rPr>
  </w:style>
  <w:style w:type="character" w:styleId="Hyperlink">
    <w:name w:val="Hyperlink"/>
    <w:basedOn w:val="Absatz-Standardschriftar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unece.org/trans/danger/publi/ghs/pictograms/flamme.gif"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3332</CharactersWithSpaces>
  <SharedDoc>false</SharedDoc>
  <HLinks>
    <vt:vector size="18" baseType="variant">
      <vt:variant>
        <vt:i4>4456521</vt:i4>
      </vt:variant>
      <vt:variant>
        <vt:i4>1617</vt:i4>
      </vt:variant>
      <vt:variant>
        <vt:i4>1029</vt:i4>
      </vt:variant>
      <vt:variant>
        <vt:i4>1</vt:i4>
      </vt:variant>
      <vt:variant>
        <vt:lpwstr>http://www.unece.org/trans/danger/publi/ghs/pictograms/flamme.gif</vt:lpwstr>
      </vt:variant>
      <vt:variant>
        <vt:lpwstr/>
      </vt:variant>
      <vt:variant>
        <vt:i4>917580</vt:i4>
      </vt:variant>
      <vt:variant>
        <vt:i4>1817</vt:i4>
      </vt:variant>
      <vt:variant>
        <vt:i4>1030</vt:i4>
      </vt:variant>
      <vt:variant>
        <vt:i4>1</vt:i4>
      </vt:variant>
      <vt:variant>
        <vt:lpwstr>C:\Zeichen\F+.gif</vt:lpwstr>
      </vt:variant>
      <vt:variant>
        <vt:lpwstr/>
      </vt:variant>
      <vt:variant>
        <vt:i4>3604549</vt:i4>
      </vt:variant>
      <vt:variant>
        <vt:i4>2555</vt:i4>
      </vt:variant>
      <vt:variant>
        <vt:i4>1027</vt:i4>
      </vt:variant>
      <vt:variant>
        <vt:i4>1</vt:i4>
      </vt:variant>
      <vt:variant>
        <vt:lpwstr>C:\Zeichen\Verbote\Feuer-v.gif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2005-02-17T13:53:00Z</cp:lastPrinted>
  <dcterms:created xsi:type="dcterms:W3CDTF">2019-03-01T08:11:00Z</dcterms:created>
  <dcterms:modified xsi:type="dcterms:W3CDTF">2019-03-01T08:11:00Z</dcterms:modified>
</cp:coreProperties>
</file>