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Borders>
          <w:bottom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7"/>
        <w:gridCol w:w="84"/>
        <w:gridCol w:w="3544"/>
        <w:gridCol w:w="2326"/>
        <w:gridCol w:w="1076"/>
        <w:gridCol w:w="142"/>
        <w:gridCol w:w="1701"/>
      </w:tblGrid>
      <w:tr w:rsidR="008665C4">
        <w:trPr>
          <w:cantSplit/>
          <w:trHeight w:val="1702"/>
        </w:trPr>
        <w:tc>
          <w:tcPr>
            <w:tcW w:w="5245" w:type="dxa"/>
            <w:gridSpan w:val="4"/>
            <w:tcBorders>
              <w:top w:val="single" w:sz="48" w:space="0" w:color="FFCC00"/>
              <w:left w:val="single" w:sz="48" w:space="0" w:color="FFCC00"/>
              <w:bottom w:val="single" w:sz="4" w:space="0" w:color="auto"/>
            </w:tcBorders>
            <w:shd w:val="clear" w:color="FF0000" w:fill="auto"/>
            <w:vAlign w:val="center"/>
          </w:tcPr>
          <w:p w:rsidR="008665C4" w:rsidRDefault="00E463CE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Betriebsanweisung für den Umgang mit Gefahrstoffen</w:t>
            </w:r>
          </w:p>
          <w:p w:rsidR="008665C4" w:rsidRDefault="00E463CE">
            <w:pPr>
              <w:spacing w:before="120" w:line="240" w:lineRule="atLeas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  <w:p w:rsidR="008665C4" w:rsidRDefault="008665C4">
            <w:pPr>
              <w:spacing w:line="160" w:lineRule="atLeast"/>
              <w:rPr>
                <w:rFonts w:ascii="Times" w:hAnsi="Times"/>
                <w:spacing w:val="10"/>
                <w:sz w:val="12"/>
              </w:rPr>
            </w:pPr>
          </w:p>
        </w:tc>
        <w:tc>
          <w:tcPr>
            <w:tcW w:w="5245" w:type="dxa"/>
            <w:gridSpan w:val="4"/>
            <w:tcBorders>
              <w:top w:val="single" w:sz="48" w:space="0" w:color="FFCC00"/>
              <w:bottom w:val="single" w:sz="4" w:space="0" w:color="auto"/>
              <w:right w:val="single" w:sz="48" w:space="0" w:color="FFCC00"/>
            </w:tcBorders>
            <w:shd w:val="clear" w:color="FF0000" w:fill="auto"/>
          </w:tcPr>
          <w:p w:rsidR="008665C4" w:rsidRDefault="004C6D24">
            <w:pPr>
              <w:jc w:val="right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40" type="#_x0000_t75" style="position:absolute;left:0;text-align:left;margin-left:97.95pt;margin-top:6.95pt;width:153pt;height:1in;z-index:251657728;visibility:visible;mso-position-horizontal-relative:text;mso-position-vertical-relative:text">
                  <v:imagedata r:id="rId7" o:title="logo-sw-klein"/>
                </v:shape>
              </w:pict>
            </w:r>
          </w:p>
        </w:tc>
      </w:tr>
      <w:tr w:rsidR="008665C4">
        <w:tc>
          <w:tcPr>
            <w:tcW w:w="10490" w:type="dxa"/>
            <w:gridSpan w:val="8"/>
            <w:tcBorders>
              <w:top w:val="single" w:sz="4" w:space="0" w:color="auto"/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8665C4" w:rsidRDefault="00E463CE">
            <w:pPr>
              <w:pStyle w:val="berschrift4"/>
              <w:spacing w:before="120"/>
              <w:rPr>
                <w:sz w:val="32"/>
              </w:rPr>
            </w:pPr>
            <w:r>
              <w:rPr>
                <w:rFonts w:ascii="Arial" w:hAnsi="Arial"/>
                <w:sz w:val="32"/>
              </w:rPr>
              <w:t>Ätzende Gefahrstoffe, sauer, flüssig</w:t>
            </w:r>
          </w:p>
        </w:tc>
      </w:tr>
      <w:tr w:rsidR="008665C4">
        <w:tc>
          <w:tcPr>
            <w:tcW w:w="10490" w:type="dxa"/>
            <w:gridSpan w:val="8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8665C4" w:rsidRDefault="00E463CE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 xml:space="preserve">z.B. Salzsäure, Salpetersäure, Schwefelsäure, Essigsäure </w:t>
            </w:r>
          </w:p>
        </w:tc>
      </w:tr>
      <w:tr w:rsidR="008665C4">
        <w:tc>
          <w:tcPr>
            <w:tcW w:w="10490" w:type="dxa"/>
            <w:gridSpan w:val="8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8665C4" w:rsidRDefault="00E463C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8665C4">
        <w:trPr>
          <w:cantSplit/>
        </w:trPr>
        <w:tc>
          <w:tcPr>
            <w:tcW w:w="1701" w:type="dxa"/>
            <w:gridSpan w:val="3"/>
            <w:tcBorders>
              <w:left w:val="single" w:sz="48" w:space="0" w:color="FFCC00"/>
              <w:bottom w:val="nil"/>
            </w:tcBorders>
            <w:shd w:val="clear" w:color="FF0000" w:fill="auto"/>
          </w:tcPr>
          <w:p w:rsidR="008665C4" w:rsidRDefault="008665C4">
            <w:pPr>
              <w:jc w:val="center"/>
              <w:rPr>
                <w:rFonts w:ascii="Arial" w:hAnsi="Arial" w:cs="Arial"/>
                <w:sz w:val="16"/>
              </w:rPr>
            </w:pPr>
          </w:p>
          <w:p w:rsidR="008665C4" w:rsidRDefault="00E463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INCLUDEPICTURE "http://www.unece.org/trans/danger/publi/ghs/pictograms/acid.gif" \* MERGEFORMATINET </w:instrText>
            </w:r>
            <w:r>
              <w:rPr>
                <w:rFonts w:ascii="Arial" w:hAnsi="Arial" w:cs="Arial"/>
              </w:rPr>
              <w:fldChar w:fldCharType="separate"/>
            </w:r>
            <w:r w:rsidR="004C6D24">
              <w:rPr>
                <w:rFonts w:ascii="Arial" w:hAnsi="Arial" w:cs="Arial"/>
              </w:rPr>
              <w:fldChar w:fldCharType="begin"/>
            </w:r>
            <w:r w:rsidR="004C6D24">
              <w:rPr>
                <w:rFonts w:ascii="Arial" w:hAnsi="Arial" w:cs="Arial"/>
              </w:rPr>
              <w:instrText xml:space="preserve"> </w:instrText>
            </w:r>
            <w:r w:rsidR="004C6D24">
              <w:rPr>
                <w:rFonts w:ascii="Arial" w:hAnsi="Arial" w:cs="Arial"/>
              </w:rPr>
              <w:instrText>INCLUDEPICTURE  "http://www.unece.org/trans/danger/publi/ghs/pictograms/acid.gif" \* MERGEFORMATINET</w:instrText>
            </w:r>
            <w:r w:rsidR="004C6D24">
              <w:rPr>
                <w:rFonts w:ascii="Arial" w:hAnsi="Arial" w:cs="Arial"/>
              </w:rPr>
              <w:instrText xml:space="preserve"> </w:instrText>
            </w:r>
            <w:r w:rsidR="004C6D24">
              <w:rPr>
                <w:rFonts w:ascii="Arial" w:hAnsi="Arial" w:cs="Arial"/>
              </w:rPr>
              <w:fldChar w:fldCharType="separate"/>
            </w:r>
            <w:r w:rsidR="004C6D24">
              <w:rPr>
                <w:rFonts w:ascii="Arial" w:hAnsi="Arial" w:cs="Arial"/>
              </w:rPr>
              <w:pict>
                <v:shape id="_x0000_i1025" type="#_x0000_t75" alt="" style="width:78.6pt;height:78.6pt">
                  <v:imagedata r:id="rId8" r:href="rId9"/>
                </v:shape>
              </w:pict>
            </w:r>
            <w:r w:rsidR="004C6D2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end"/>
            </w:r>
          </w:p>
          <w:p w:rsidR="008665C4" w:rsidRDefault="00E463CE">
            <w:pPr>
              <w:pStyle w:val="berschrift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Gefahr</w:t>
            </w:r>
          </w:p>
        </w:tc>
        <w:tc>
          <w:tcPr>
            <w:tcW w:w="7088" w:type="dxa"/>
            <w:gridSpan w:val="4"/>
            <w:tcBorders>
              <w:bottom w:val="nil"/>
              <w:right w:val="nil"/>
            </w:tcBorders>
            <w:shd w:val="clear" w:color="FF0000" w:fill="auto"/>
          </w:tcPr>
          <w:p w:rsidR="008665C4" w:rsidRDefault="00E463CE">
            <w:pPr>
              <w:numPr>
                <w:ilvl w:val="0"/>
                <w:numId w:val="16"/>
              </w:numPr>
              <w:spacing w:before="120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Säuren und ihre Dämpfe wirken zerstörend auf die Haut, Augen und Schleimhäute</w:t>
            </w:r>
          </w:p>
          <w:p w:rsidR="008665C4" w:rsidRDefault="00E463CE">
            <w:pPr>
              <w:numPr>
                <w:ilvl w:val="0"/>
                <w:numId w:val="6"/>
              </w:numPr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Verursachen am Auge massive, schmerzhafte Sehbehinderungen</w:t>
            </w:r>
          </w:p>
          <w:p w:rsidR="008665C4" w:rsidRDefault="00E463CE">
            <w:pPr>
              <w:numPr>
                <w:ilvl w:val="0"/>
                <w:numId w:val="6"/>
              </w:numPr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Technische Einrichtungen können zerstört und dadurch die Unfallgefahr erhöht werden </w:t>
            </w:r>
          </w:p>
          <w:p w:rsidR="008665C4" w:rsidRDefault="00E463CE">
            <w:pPr>
              <w:numPr>
                <w:ilvl w:val="0"/>
                <w:numId w:val="6"/>
              </w:numPr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Bei Kontakt mit alkalischen Stoffen sind heftigste Reaktionen möglich. Oft besitzen Säuren </w:t>
            </w:r>
          </w:p>
          <w:p w:rsidR="008665C4" w:rsidRDefault="00E463CE">
            <w:pPr>
              <w:numPr>
                <w:ilvl w:val="0"/>
                <w:numId w:val="6"/>
              </w:numPr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noch weitere, z.B. gesundheitsgefährdende oder brandfördernde Eigenschaften oder sind  selbst brennbar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8" w:space="0" w:color="FFCC00"/>
            </w:tcBorders>
            <w:shd w:val="clear" w:color="FF0000" w:fill="auto"/>
          </w:tcPr>
          <w:tbl>
            <w:tblPr>
              <w:tblW w:w="0" w:type="auto"/>
              <w:tblBorders>
                <w:bottom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9"/>
            </w:tblGrid>
            <w:tr w:rsidR="008665C4">
              <w:trPr>
                <w:cantSplit/>
                <w:trHeight w:val="2124"/>
              </w:trPr>
              <w:tc>
                <w:tcPr>
                  <w:tcW w:w="1559" w:type="dxa"/>
                  <w:tcBorders>
                    <w:left w:val="nil"/>
                    <w:bottom w:val="nil"/>
                    <w:right w:val="single" w:sz="48" w:space="0" w:color="FFCC00"/>
                  </w:tcBorders>
                  <w:shd w:val="clear" w:color="FF0000" w:fill="auto"/>
                </w:tcPr>
                <w:p w:rsidR="008665C4" w:rsidRDefault="008665C4">
                  <w:pPr>
                    <w:keepNext/>
                    <w:tabs>
                      <w:tab w:val="left" w:pos="2694"/>
                      <w:tab w:val="left" w:pos="5387"/>
                      <w:tab w:val="left" w:pos="6946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  <w:p w:rsidR="008665C4" w:rsidRDefault="008665C4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</w:p>
              </w:tc>
            </w:tr>
          </w:tbl>
          <w:p w:rsidR="008665C4" w:rsidRDefault="008665C4">
            <w:pPr>
              <w:ind w:left="355" w:right="355" w:hanging="142"/>
              <w:jc w:val="center"/>
            </w:pPr>
          </w:p>
        </w:tc>
      </w:tr>
      <w:tr w:rsidR="008665C4">
        <w:tc>
          <w:tcPr>
            <w:tcW w:w="10490" w:type="dxa"/>
            <w:gridSpan w:val="8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8665C4" w:rsidRDefault="00E463C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8665C4">
        <w:tc>
          <w:tcPr>
            <w:tcW w:w="1560" w:type="dxa"/>
            <w:tcBorders>
              <w:left w:val="single" w:sz="48" w:space="0" w:color="FFCC00"/>
              <w:bottom w:val="nil"/>
            </w:tcBorders>
            <w:shd w:val="clear" w:color="FF0000" w:fill="auto"/>
          </w:tcPr>
          <w:p w:rsidR="008665C4" w:rsidRDefault="00E463CE">
            <w:pPr>
              <w:pStyle w:val="berschrift4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object w:dxaOrig="1416" w:dyaOrig="1416">
                <v:shape id="_x0000_i1026" type="#_x0000_t75" style="width:70.8pt;height:70.8pt" o:ole="" fillcolor="window">
                  <v:imagedata r:id="rId10" o:title=""/>
                </v:shape>
                <o:OLEObject Type="Embed" ProgID="MSPhotoEd.3" ShapeID="_x0000_i1026" DrawAspect="Content" ObjectID="_1612936439" r:id="rId11"/>
              </w:object>
            </w:r>
          </w:p>
        </w:tc>
        <w:tc>
          <w:tcPr>
            <w:tcW w:w="7087" w:type="dxa"/>
            <w:gridSpan w:val="5"/>
            <w:tcBorders>
              <w:bottom w:val="nil"/>
            </w:tcBorders>
            <w:shd w:val="clear" w:color="FF0000" w:fill="auto"/>
          </w:tcPr>
          <w:p w:rsidR="008665C4" w:rsidRDefault="00E463CE">
            <w:pPr>
              <w:pStyle w:val="Blocktext"/>
              <w:ind w:left="0"/>
            </w:pPr>
            <w:r>
              <w:rPr>
                <w:b/>
                <w:bCs/>
              </w:rPr>
              <w:t>Augenschutz</w:t>
            </w:r>
            <w:r>
              <w:t>:</w:t>
            </w:r>
            <w:r>
              <w:tab/>
              <w:t xml:space="preserve">Schutzbrille mit Seitenschutz </w:t>
            </w:r>
          </w:p>
          <w:p w:rsidR="008665C4" w:rsidRDefault="00E463CE">
            <w:pPr>
              <w:pStyle w:val="Blocktext"/>
              <w:spacing w:before="0"/>
              <w:ind w:left="0"/>
            </w:pPr>
            <w:r>
              <w:rPr>
                <w:b/>
                <w:bCs/>
              </w:rPr>
              <w:t>Handschutz</w:t>
            </w:r>
            <w:r>
              <w:t xml:space="preserve">: </w:t>
            </w:r>
            <w:r>
              <w:tab/>
              <w:t xml:space="preserve">Schutzhandschuhe </w:t>
            </w:r>
          </w:p>
          <w:p w:rsidR="008665C4" w:rsidRDefault="00E463CE">
            <w:pPr>
              <w:numPr>
                <w:ilvl w:val="0"/>
                <w:numId w:val="13"/>
              </w:numPr>
              <w:spacing w:before="120"/>
              <w:ind w:right="214"/>
              <w:rPr>
                <w:rFonts w:ascii="Arial" w:hAnsi="Arial"/>
              </w:rPr>
            </w:pPr>
            <w:r>
              <w:rPr>
                <w:rFonts w:ascii="Arial" w:hAnsi="Arial"/>
              </w:rPr>
              <w:t>Kontakt mit Haut, Augen und Kleidung vermeiden. Hautschutzpräparate benutzen.</w:t>
            </w:r>
          </w:p>
          <w:p w:rsidR="008665C4" w:rsidRDefault="00E463CE">
            <w:pPr>
              <w:pStyle w:val="Textkrper3"/>
              <w:numPr>
                <w:ilvl w:val="0"/>
                <w:numId w:val="13"/>
              </w:numPr>
              <w:spacing w:before="0"/>
              <w:ind w:right="0"/>
            </w:pPr>
            <w:r>
              <w:t xml:space="preserve">Benutzen Sie funktionstüchtige Schutzeinrichtungen, z.B. Abzüge, Absaugungen </w:t>
            </w:r>
          </w:p>
          <w:p w:rsidR="008665C4" w:rsidRDefault="00E463CE">
            <w:pPr>
              <w:pStyle w:val="Textkrper3"/>
              <w:numPr>
                <w:ilvl w:val="0"/>
                <w:numId w:val="13"/>
              </w:numPr>
              <w:spacing w:before="0"/>
              <w:ind w:right="0"/>
            </w:pPr>
            <w:r>
              <w:t>Geeignete Materialien benutzen, da zahlreiche Metalle, Kunststoffe, Glas und Quarz können je nach Konzentration und Temperatur angegriffen werden.</w:t>
            </w:r>
          </w:p>
          <w:p w:rsidR="008665C4" w:rsidRDefault="00E463CE">
            <w:pPr>
              <w:pStyle w:val="Textkrper3"/>
              <w:numPr>
                <w:ilvl w:val="0"/>
                <w:numId w:val="13"/>
              </w:numPr>
              <w:spacing w:before="0"/>
              <w:ind w:right="0"/>
            </w:pPr>
            <w:r>
              <w:t xml:space="preserve">Konzentrierte Säuren erhitzen sich oft sehr stark beim Verdünnen. Geben Sie daher die Säure stets in dünnen Strahl oder in kleinen Portionen und unter Rühren zur Verdünnungsflüssigkeit - </w:t>
            </w:r>
            <w:r>
              <w:rPr>
                <w:b/>
                <w:bCs/>
              </w:rPr>
              <w:t>nie umgekehrt</w:t>
            </w:r>
            <w:r>
              <w:t>.</w:t>
            </w:r>
          </w:p>
        </w:tc>
        <w:tc>
          <w:tcPr>
            <w:tcW w:w="1843" w:type="dxa"/>
            <w:gridSpan w:val="2"/>
            <w:tcBorders>
              <w:bottom w:val="nil"/>
              <w:right w:val="single" w:sz="48" w:space="0" w:color="FFCC00"/>
            </w:tcBorders>
            <w:shd w:val="clear" w:color="FF0000" w:fill="auto"/>
          </w:tcPr>
          <w:p w:rsidR="008665C4" w:rsidRDefault="00E463CE">
            <w:pPr>
              <w:spacing w:before="12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object w:dxaOrig="1416" w:dyaOrig="1416">
                <v:shape id="_x0000_i1027" type="#_x0000_t75" style="width:70.8pt;height:70.8pt" o:ole="" fillcolor="window">
                  <v:imagedata r:id="rId12" o:title=""/>
                </v:shape>
                <o:OLEObject Type="Embed" ProgID="MSPhotoEd.3" ShapeID="_x0000_i1027" DrawAspect="Content" ObjectID="_1612936440" r:id="rId13"/>
              </w:object>
            </w:r>
          </w:p>
        </w:tc>
      </w:tr>
      <w:tr w:rsidR="008665C4">
        <w:trPr>
          <w:trHeight w:val="569"/>
        </w:trPr>
        <w:tc>
          <w:tcPr>
            <w:tcW w:w="10490" w:type="dxa"/>
            <w:gridSpan w:val="8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8665C4" w:rsidRDefault="00E463CE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8665C4">
        <w:trPr>
          <w:cantSplit/>
          <w:trHeight w:val="1555"/>
        </w:trPr>
        <w:tc>
          <w:tcPr>
            <w:tcW w:w="10490" w:type="dxa"/>
            <w:gridSpan w:val="8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8665C4" w:rsidRDefault="00E463CE">
            <w:pPr>
              <w:keepLines/>
              <w:numPr>
                <w:ilvl w:val="0"/>
                <w:numId w:val="1"/>
              </w:numPr>
              <w:spacing w:before="120" w:line="24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 Gefahrenfall alle Anwesenden warnen, betroffenen Bereich räumen. Bei Beseitigen von Gefahr Schutzausrüstung tragen. </w:t>
            </w:r>
          </w:p>
          <w:p w:rsidR="008665C4" w:rsidRDefault="00E463CE">
            <w:pPr>
              <w:keepLines/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Beim Auftreten potenziell gefährlicher Konzentrationen (z.B. bei unbeabsichtigter Freisetzung) sind Atemschutzgeräte mit den entsprechenden Kombinationsfilter anzulegen.</w:t>
            </w:r>
          </w:p>
          <w:p w:rsidR="008665C4" w:rsidRDefault="00E463CE">
            <w:pPr>
              <w:keepLines/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Lösungen</w:t>
            </w:r>
            <w:r>
              <w:rPr>
                <w:rFonts w:ascii="Arial" w:hAnsi="Arial"/>
              </w:rPr>
              <w:t xml:space="preserve"> neutralisieren. Mit Bindemittel aufnehmen und in geschlossenem Gebinde zur Entsorgung geben.  </w:t>
            </w:r>
            <w:proofErr w:type="gramStart"/>
            <w:r>
              <w:rPr>
                <w:rFonts w:ascii="Arial" w:hAnsi="Arial"/>
                <w:i/>
              </w:rPr>
              <w:t xml:space="preserve">Feststoff  </w:t>
            </w:r>
            <w:r>
              <w:rPr>
                <w:rFonts w:ascii="Arial" w:hAnsi="Arial"/>
              </w:rPr>
              <w:t>Mechanisch</w:t>
            </w:r>
            <w:proofErr w:type="gramEnd"/>
            <w:r>
              <w:rPr>
                <w:rFonts w:ascii="Arial" w:hAnsi="Arial"/>
              </w:rPr>
              <w:t xml:space="preserve"> aufnehmen. Staubentwicklung vermeiden.</w:t>
            </w:r>
          </w:p>
          <w:p w:rsidR="008665C4" w:rsidRDefault="00E463CE">
            <w:pPr>
              <w:keepLines/>
              <w:numPr>
                <w:ilvl w:val="0"/>
                <w:numId w:val="1"/>
              </w:numPr>
              <w:spacing w:line="240" w:lineRule="exact"/>
              <w:ind w:left="284" w:hanging="284"/>
              <w:rPr>
                <w:b/>
              </w:rPr>
            </w:pPr>
            <w:r>
              <w:rPr>
                <w:rFonts w:ascii="Arial" w:hAnsi="Arial"/>
              </w:rPr>
              <w:t xml:space="preserve">Stoff selbst brennt nicht. Löschmittel auf die Umgebung abstimmen </w:t>
            </w:r>
            <w:r>
              <w:t xml:space="preserve">- </w:t>
            </w:r>
            <w:r>
              <w:rPr>
                <w:rFonts w:ascii="Arial" w:hAnsi="Arial"/>
              </w:rPr>
              <w:t>aber: beim Löschen mit Wasser Reaktion mit diesen Stoffen möglich!</w:t>
            </w:r>
          </w:p>
        </w:tc>
      </w:tr>
      <w:tr w:rsidR="008665C4">
        <w:trPr>
          <w:trHeight w:val="571"/>
        </w:trPr>
        <w:tc>
          <w:tcPr>
            <w:tcW w:w="7571" w:type="dxa"/>
            <w:gridSpan w:val="5"/>
            <w:tcBorders>
              <w:left w:val="single" w:sz="48" w:space="0" w:color="FFCC00"/>
              <w:bottom w:val="nil"/>
            </w:tcBorders>
            <w:shd w:val="clear" w:color="FF0000" w:fill="FFCC00"/>
          </w:tcPr>
          <w:p w:rsidR="008665C4" w:rsidRDefault="00E463CE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gridSpan w:val="3"/>
            <w:tcBorders>
              <w:bottom w:val="nil"/>
              <w:right w:val="single" w:sz="48" w:space="0" w:color="FFCC00"/>
            </w:tcBorders>
            <w:shd w:val="clear" w:color="FF0000" w:fill="FFFF00"/>
          </w:tcPr>
          <w:p w:rsidR="008665C4" w:rsidRDefault="00E463CE">
            <w:pPr>
              <w:pStyle w:val="berschrift4"/>
              <w:keepNext w:val="0"/>
              <w:spacing w:before="12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8665C4">
        <w:trPr>
          <w:trHeight w:val="1699"/>
        </w:trPr>
        <w:tc>
          <w:tcPr>
            <w:tcW w:w="1617" w:type="dxa"/>
            <w:gridSpan w:val="2"/>
            <w:tcBorders>
              <w:left w:val="single" w:sz="48" w:space="0" w:color="FFCC00"/>
              <w:bottom w:val="nil"/>
            </w:tcBorders>
            <w:shd w:val="clear" w:color="FF0000" w:fill="auto"/>
          </w:tcPr>
          <w:p w:rsidR="008665C4" w:rsidRDefault="00E463CE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 id="_x0000_i1028" type="#_x0000_t75" style="width:58.8pt;height:71.4pt" o:ole="">
                  <v:imagedata r:id="rId14" o:title=""/>
                </v:shape>
                <o:OLEObject Type="Embed" ProgID="PBrush" ShapeID="_x0000_i1028" DrawAspect="Content" ObjectID="_1612936441" r:id="rId15"/>
              </w:object>
            </w:r>
          </w:p>
        </w:tc>
        <w:tc>
          <w:tcPr>
            <w:tcW w:w="8873" w:type="dxa"/>
            <w:gridSpan w:val="6"/>
            <w:tcBorders>
              <w:bottom w:val="nil"/>
              <w:right w:val="single" w:sz="48" w:space="0" w:color="FFCC00"/>
            </w:tcBorders>
            <w:shd w:val="clear" w:color="FF0000" w:fill="auto"/>
          </w:tcPr>
          <w:p w:rsidR="008665C4" w:rsidRDefault="00E463CE">
            <w:pPr>
              <w:pStyle w:val="Blocktext"/>
              <w:ind w:left="2055" w:hanging="1984"/>
            </w:pPr>
            <w:r>
              <w:t xml:space="preserve">Nach Hautkontakt: </w:t>
            </w:r>
            <w:r>
              <w:tab/>
              <w:t xml:space="preserve">Mit reichlich Wasser abwaschen (Notdusche). Benetzte Kleidung </w:t>
            </w:r>
            <w:r>
              <w:rPr>
                <w:u w:val="single"/>
              </w:rPr>
              <w:t>sofort</w:t>
            </w:r>
            <w:r>
              <w:t xml:space="preserve"> ausziehen.</w:t>
            </w:r>
          </w:p>
          <w:p w:rsidR="008665C4" w:rsidRDefault="00E463CE">
            <w:pPr>
              <w:pStyle w:val="Blocktext"/>
              <w:spacing w:before="0"/>
              <w:ind w:left="2055" w:hanging="1984"/>
            </w:pPr>
            <w:r>
              <w:t>Nach Augenkontakt:</w:t>
            </w:r>
            <w:r>
              <w:tab/>
              <w:t>Bei geöffnetem Lidspalt mindestens 10 Minuten unter fließendem kalten Wasser spülen (Augendusche).</w:t>
            </w:r>
          </w:p>
          <w:p w:rsidR="008665C4" w:rsidRDefault="00E463CE">
            <w:pPr>
              <w:pStyle w:val="Blocktext"/>
              <w:spacing w:before="0"/>
              <w:ind w:left="2055" w:hanging="1984"/>
            </w:pPr>
            <w:r>
              <w:t>Nach Einatmen:</w:t>
            </w:r>
            <w:r>
              <w:tab/>
              <w:t xml:space="preserve">Frischluft. </w:t>
            </w:r>
            <w:proofErr w:type="spellStart"/>
            <w:r>
              <w:t>Auxiloson</w:t>
            </w:r>
            <w:proofErr w:type="spellEnd"/>
            <w:r>
              <w:t xml:space="preserve">-Dosier-Aerosol tief einatmen lassen. </w:t>
            </w:r>
          </w:p>
          <w:p w:rsidR="008665C4" w:rsidRDefault="00E463CE">
            <w:pPr>
              <w:pStyle w:val="Blocktext"/>
              <w:spacing w:before="0"/>
              <w:ind w:left="2055" w:hanging="1984"/>
            </w:pPr>
            <w:r>
              <w:t>Nach Verschlucken:</w:t>
            </w:r>
            <w:r>
              <w:tab/>
              <w:t>Viel Wasser trinken, falls vorhanden mit Aktivkohle-Zusatz.</w:t>
            </w:r>
          </w:p>
          <w:p w:rsidR="008665C4" w:rsidRDefault="00E463CE">
            <w:pPr>
              <w:pStyle w:val="Blocktext"/>
              <w:spacing w:before="0"/>
              <w:ind w:left="2055" w:hanging="1984"/>
            </w:pPr>
            <w:r>
              <w:t>Bei Unfall oder Unwohlsein sofort Arzt hinzuziehen (wenn möglich das Etikett vorzeigen).</w:t>
            </w:r>
          </w:p>
        </w:tc>
      </w:tr>
      <w:tr w:rsidR="008665C4">
        <w:trPr>
          <w:trHeight w:val="560"/>
        </w:trPr>
        <w:tc>
          <w:tcPr>
            <w:tcW w:w="10490" w:type="dxa"/>
            <w:gridSpan w:val="8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8665C4" w:rsidRDefault="00E463CE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8665C4">
        <w:trPr>
          <w:cantSplit/>
          <w:trHeight w:val="256"/>
        </w:trPr>
        <w:tc>
          <w:tcPr>
            <w:tcW w:w="10490" w:type="dxa"/>
            <w:gridSpan w:val="8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8665C4" w:rsidRDefault="00E463CE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Abfälle in geschlossenen Behältern sammeln und nach Anweisung des Abfallbeauftragten über das zentrale Zwischenlager Tel.: 798 - 29392 entsorgen. </w:t>
            </w:r>
          </w:p>
        </w:tc>
      </w:tr>
    </w:tbl>
    <w:p w:rsidR="008665C4" w:rsidRDefault="008665C4">
      <w:pPr>
        <w:ind w:right="-1"/>
        <w:jc w:val="right"/>
        <w:rPr>
          <w:sz w:val="2"/>
        </w:rPr>
      </w:pPr>
    </w:p>
    <w:sectPr w:rsidR="008665C4">
      <w:headerReference w:type="even" r:id="rId16"/>
      <w:headerReference w:type="default" r:id="rId17"/>
      <w:footerReference w:type="first" r:id="rId18"/>
      <w:pgSz w:w="11906" w:h="16838" w:code="9"/>
      <w:pgMar w:top="465" w:right="566" w:bottom="851" w:left="1474" w:header="720" w:footer="12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5C4" w:rsidRDefault="00E463CE">
      <w:r>
        <w:separator/>
      </w:r>
    </w:p>
  </w:endnote>
  <w:endnote w:type="continuationSeparator" w:id="0">
    <w:p w:rsidR="008665C4" w:rsidRDefault="00E4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panose1 w:val="020A0503050306020303"/>
    <w:charset w:val="00"/>
    <w:family w:val="roman"/>
    <w:pitch w:val="variable"/>
    <w:sig w:usb0="00000001" w:usb1="4000004A" w:usb2="00000000" w:usb3="00000000" w:csb0="000001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5C4" w:rsidRDefault="00E463CE">
    <w:pPr>
      <w:pStyle w:val="Fuzeile"/>
      <w:jc w:val="right"/>
    </w:pPr>
    <w:r>
      <w:t>Stand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5C4" w:rsidRDefault="00E463CE">
      <w:r>
        <w:separator/>
      </w:r>
    </w:p>
  </w:footnote>
  <w:footnote w:type="continuationSeparator" w:id="0">
    <w:p w:rsidR="008665C4" w:rsidRDefault="00E46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5C4" w:rsidRDefault="00E463C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8665C4" w:rsidRDefault="008665C4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5C4" w:rsidRDefault="00E463C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8665C4" w:rsidRDefault="008665C4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3F527034"/>
    <w:multiLevelType w:val="hybridMultilevel"/>
    <w:tmpl w:val="AA340140"/>
    <w:lvl w:ilvl="0" w:tplc="74B005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B02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CAE0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98A6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0000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AC1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C475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2A4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1EB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4" w15:restartNumberingAfterBreak="0">
    <w:nsid w:val="46BA1EB3"/>
    <w:multiLevelType w:val="singleLevel"/>
    <w:tmpl w:val="73F4F98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5" w15:restartNumberingAfterBreak="0">
    <w:nsid w:val="4BDF7A44"/>
    <w:multiLevelType w:val="hybridMultilevel"/>
    <w:tmpl w:val="98A0CEC8"/>
    <w:lvl w:ilvl="0" w:tplc="5E5A2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8CA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E00C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6893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EEE3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B42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5EF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7AD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AA7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6"/>
  </w:num>
  <w:num w:numId="13">
    <w:abstractNumId w:val="4"/>
  </w:num>
  <w:num w:numId="14">
    <w:abstractNumId w:val="5"/>
  </w:num>
  <w:num w:numId="15">
    <w:abstractNumId w:val="2"/>
  </w:num>
  <w:num w:numId="1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3CE"/>
    <w:rsid w:val="004C6D24"/>
    <w:rsid w:val="008665C4"/>
    <w:rsid w:val="00E4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o:colormenu v:ext="edit" fillcolor="#f90" strokecolor="#fc0"/>
    </o:shapedefaults>
    <o:shapelayout v:ext="edit">
      <o:idmap v:ext="edit" data="1"/>
    </o:shapelayout>
  </w:shapeDefaults>
  <w:decimalSymbol w:val=","/>
  <w:listSeparator w:val=";"/>
  <w15:chartTrackingRefBased/>
  <w15:docId w15:val="{53F6C1D6-0E1D-4999-BF05-DEB4DA20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styleId="Textkrper3">
    <w:name w:val="Body Text 3"/>
    <w:basedOn w:val="Standard"/>
    <w:semiHidden/>
    <w:pPr>
      <w:spacing w:before="120"/>
      <w:ind w:right="567"/>
    </w:pPr>
    <w:rPr>
      <w:rFonts w:ascii="Arial" w:hAnsi="Arial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unece.org/trans/danger/publi/ghs/pictograms/acid.gi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2801</CharactersWithSpaces>
  <SharedDoc>false</SharedDoc>
  <HLinks>
    <vt:vector size="12" baseType="variant">
      <vt:variant>
        <vt:i4>2490410</vt:i4>
      </vt:variant>
      <vt:variant>
        <vt:i4>1332</vt:i4>
      </vt:variant>
      <vt:variant>
        <vt:i4>1028</vt:i4>
      </vt:variant>
      <vt:variant>
        <vt:i4>1</vt:i4>
      </vt:variant>
      <vt:variant>
        <vt:lpwstr>http://www.unece.org/trans/danger/publi/ghs/pictograms/acid.gif</vt:lpwstr>
      </vt:variant>
      <vt:variant>
        <vt:lpwstr/>
      </vt:variant>
      <vt:variant>
        <vt:i4>5046343</vt:i4>
      </vt:variant>
      <vt:variant>
        <vt:i4>1760</vt:i4>
      </vt:variant>
      <vt:variant>
        <vt:i4>1027</vt:i4>
      </vt:variant>
      <vt:variant>
        <vt:i4>1</vt:i4>
      </vt:variant>
      <vt:variant>
        <vt:lpwstr>C:\Zeichen\C.gif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Kirchner, Wolfgang</cp:lastModifiedBy>
  <cp:revision>2</cp:revision>
  <cp:lastPrinted>2005-02-15T17:04:00Z</cp:lastPrinted>
  <dcterms:created xsi:type="dcterms:W3CDTF">2019-03-01T08:06:00Z</dcterms:created>
  <dcterms:modified xsi:type="dcterms:W3CDTF">2019-03-01T08:06:00Z</dcterms:modified>
</cp:coreProperties>
</file>