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368"/>
        <w:gridCol w:w="1511"/>
        <w:gridCol w:w="1749"/>
        <w:gridCol w:w="1748"/>
        <w:gridCol w:w="578"/>
        <w:gridCol w:w="1076"/>
        <w:gridCol w:w="1843"/>
      </w:tblGrid>
      <w:tr w:rsidR="009E3275">
        <w:trPr>
          <w:cantSplit/>
          <w:trHeight w:val="1702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auto"/>
            </w:tcBorders>
            <w:shd w:val="clear" w:color="FF0000" w:fill="auto"/>
            <w:vAlign w:val="center"/>
          </w:tcPr>
          <w:p w:rsidR="009E3275" w:rsidRDefault="009E3275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Betriebsanweisung für Tätigkeiten mit Gefahrstoffen</w:t>
            </w:r>
          </w:p>
          <w:p w:rsidR="009E3275" w:rsidRDefault="009E3275">
            <w:pPr>
              <w:spacing w:before="120" w:line="24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9E3275" w:rsidRDefault="009E3275">
            <w:pPr>
              <w:spacing w:line="160" w:lineRule="atLeas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4"/>
            <w:tcBorders>
              <w:top w:val="single" w:sz="48" w:space="0" w:color="FFCC00"/>
              <w:bottom w:val="single" w:sz="4" w:space="0" w:color="auto"/>
              <w:right w:val="single" w:sz="48" w:space="0" w:color="FFCC00"/>
            </w:tcBorders>
            <w:shd w:val="clear" w:color="FF0000" w:fill="auto"/>
          </w:tcPr>
          <w:p w:rsidR="009E3275" w:rsidRDefault="00CA04BE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1" type="#_x0000_t75" style="position:absolute;left:0;text-align:left;margin-left:106.65pt;margin-top:3.75pt;width:142pt;height:77.25pt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9E3275">
        <w:tc>
          <w:tcPr>
            <w:tcW w:w="10490" w:type="dxa"/>
            <w:gridSpan w:val="8"/>
            <w:tcBorders>
              <w:top w:val="single" w:sz="4" w:space="0" w:color="auto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9E3275" w:rsidRDefault="009E3275">
            <w:pPr>
              <w:pStyle w:val="berschrift4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Giftige Gefahrstoffe, flüssig</w:t>
            </w:r>
          </w:p>
        </w:tc>
      </w:tr>
      <w:tr w:rsidR="009E3275"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9E3275" w:rsidRDefault="009E3275">
            <w:pPr>
              <w:spacing w:before="6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z.B. Ethylanilin, </w:t>
            </w:r>
            <w:proofErr w:type="spellStart"/>
            <w:r>
              <w:rPr>
                <w:rFonts w:ascii="Arial" w:hAnsi="Arial"/>
                <w:sz w:val="24"/>
              </w:rPr>
              <w:t>Dimethysulfat</w:t>
            </w:r>
            <w:proofErr w:type="spellEnd"/>
            <w:r>
              <w:rPr>
                <w:rFonts w:ascii="Arial" w:hAnsi="Arial"/>
                <w:sz w:val="24"/>
              </w:rPr>
              <w:t xml:space="preserve">, Nitrobenzol, Tetrachlorkohlenstoff  </w:t>
            </w:r>
          </w:p>
        </w:tc>
      </w:tr>
      <w:tr w:rsidR="009E3275"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9E3275" w:rsidRDefault="009E3275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E40505" w:rsidTr="00E40505">
        <w:trPr>
          <w:cantSplit/>
        </w:trPr>
        <w:tc>
          <w:tcPr>
            <w:tcW w:w="1985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E40505" w:rsidRDefault="00E40505" w:rsidP="00E40505">
            <w:pPr>
              <w:jc w:val="center"/>
              <w:rPr>
                <w:sz w:val="14"/>
              </w:rPr>
            </w:pPr>
          </w:p>
          <w:p w:rsidR="00E40505" w:rsidRDefault="00E40505" w:rsidP="00E40505">
            <w:pPr>
              <w:jc w:val="center"/>
            </w:pPr>
            <w:r>
              <w:fldChar w:fldCharType="begin"/>
            </w:r>
            <w:r>
              <w:instrText xml:space="preserve"> INCLUDEPICTURE "http://www.unece.org/trans/danger/publi/ghs/pictograms/skull.gif" \* MERGEFORMATINET </w:instrText>
            </w:r>
            <w:r>
              <w:fldChar w:fldCharType="separate"/>
            </w:r>
            <w:r w:rsidR="00CA04BE">
              <w:fldChar w:fldCharType="begin"/>
            </w:r>
            <w:r w:rsidR="00CA04BE">
              <w:instrText xml:space="preserve"> </w:instrText>
            </w:r>
            <w:r w:rsidR="00CA04BE">
              <w:instrText>INCLUDEPICTURE  "http://www.unece.org/trans/danger/publi/ghs/pictograms/skull.gif" \* MERGEFORMATINET</w:instrText>
            </w:r>
            <w:r w:rsidR="00CA04BE">
              <w:instrText xml:space="preserve"> </w:instrText>
            </w:r>
            <w:r w:rsidR="00CA04BE">
              <w:fldChar w:fldCharType="separate"/>
            </w:r>
            <w:r w:rsidR="00CA04BE">
              <w:pict>
                <v:shape id="_x0000_i1025" type="#_x0000_t75" alt="" style="width:74.4pt;height:74.4pt">
                  <v:imagedata r:id="rId8" r:href="rId9"/>
                </v:shape>
              </w:pict>
            </w:r>
            <w:r w:rsidR="00CA04BE">
              <w:fldChar w:fldCharType="end"/>
            </w:r>
            <w:r>
              <w:fldChar w:fldCharType="end"/>
            </w:r>
          </w:p>
          <w:p w:rsidR="00E40505" w:rsidRDefault="00E40505" w:rsidP="00E40505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Gefahr</w:t>
            </w:r>
          </w:p>
        </w:tc>
        <w:tc>
          <w:tcPr>
            <w:tcW w:w="6662" w:type="dxa"/>
            <w:gridSpan w:val="5"/>
            <w:tcBorders>
              <w:bottom w:val="nil"/>
              <w:right w:val="nil"/>
            </w:tcBorders>
            <w:shd w:val="clear" w:color="FF0000" w:fill="auto"/>
          </w:tcPr>
          <w:p w:rsidR="00E40505" w:rsidRDefault="00E40505" w:rsidP="00E40505">
            <w:pPr>
              <w:numPr>
                <w:ilvl w:val="0"/>
                <w:numId w:val="1"/>
              </w:numPr>
              <w:spacing w:before="12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Stoffe können bereits in sehr geringen Mengen beim Einatmen, Verschlucken oder Aufnahme durch die Haut erhebliche akute oder chronische Gesundheitsschäden hervorrufen oder zum Tod führen. </w:t>
            </w:r>
          </w:p>
          <w:p w:rsidR="00E40505" w:rsidRDefault="00E40505" w:rsidP="00E40505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Zum Teil besitzen diese Substanzen noch andere Eigenschaften z.B. ätzend oder umweltgefährlich </w:t>
            </w:r>
          </w:p>
          <w:p w:rsidR="00E40505" w:rsidRDefault="00E40505" w:rsidP="00E40505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Die Dämpfe sind häufig schwerer als Luft.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8" w:space="0" w:color="FFCC00"/>
            </w:tcBorders>
            <w:shd w:val="clear" w:color="FF0000" w:fill="auto"/>
          </w:tcPr>
          <w:p w:rsidR="00E40505" w:rsidRDefault="00E40505" w:rsidP="00E40505">
            <w:pPr>
              <w:jc w:val="center"/>
              <w:rPr>
                <w:sz w:val="14"/>
              </w:rPr>
            </w:pPr>
          </w:p>
          <w:p w:rsidR="00E40505" w:rsidRDefault="00E40505" w:rsidP="00E40505">
            <w:pPr>
              <w:jc w:val="center"/>
            </w:pPr>
            <w:r>
              <w:fldChar w:fldCharType="begin"/>
            </w:r>
            <w:r>
              <w:instrText xml:space="preserve"> INCLUDEPICTURE "http://www.unece.org/trans/danger/publi/ghs/pictograms/silhouete.gif" \* MERGEFORMATINET </w:instrText>
            </w:r>
            <w:r>
              <w:fldChar w:fldCharType="separate"/>
            </w:r>
            <w:r w:rsidR="00CA04BE">
              <w:fldChar w:fldCharType="begin"/>
            </w:r>
            <w:r w:rsidR="00CA04BE">
              <w:instrText xml:space="preserve"> </w:instrText>
            </w:r>
            <w:r w:rsidR="00CA04BE">
              <w:instrText>INCLUDEPICTURE  "http://www.unece.org/trans/danger/publi/ghs/pictograms/silhouete.gif" \* MERGEFORMATINET</w:instrText>
            </w:r>
            <w:r w:rsidR="00CA04BE">
              <w:instrText xml:space="preserve"> </w:instrText>
            </w:r>
            <w:r w:rsidR="00CA04BE">
              <w:fldChar w:fldCharType="separate"/>
            </w:r>
            <w:r w:rsidR="00CA04BE">
              <w:pict w14:anchorId="297A8EAD">
                <v:shape id="_x0000_i1026" type="#_x0000_t75" alt="" style="width:74.4pt;height:74.4pt">
                  <v:imagedata r:id="rId10" r:href="rId11"/>
                </v:shape>
              </w:pict>
            </w:r>
            <w:r w:rsidR="00CA04BE">
              <w:fldChar w:fldCharType="end"/>
            </w:r>
            <w:r>
              <w:fldChar w:fldCharType="end"/>
            </w:r>
          </w:p>
          <w:p w:rsidR="00E40505" w:rsidRDefault="00E40505" w:rsidP="00E40505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Gefahr</w:t>
            </w:r>
          </w:p>
        </w:tc>
      </w:tr>
      <w:tr w:rsidR="00E40505"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E40505" w:rsidRDefault="00E40505" w:rsidP="00E40505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E40505">
        <w:trPr>
          <w:trHeight w:val="1332"/>
        </w:trPr>
        <w:tc>
          <w:tcPr>
            <w:tcW w:w="3496" w:type="dxa"/>
            <w:gridSpan w:val="3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E40505" w:rsidRDefault="00E40505" w:rsidP="00E40505">
            <w:pPr>
              <w:pStyle w:val="berschrift4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7" type="#_x0000_t75" style="width:62.4pt;height:62.4pt" o:ole="" fillcolor="window">
                  <v:imagedata r:id="rId12" o:title=""/>
                </v:shape>
                <o:OLEObject Type="Embed" ProgID="MSPhotoEd.3" ShapeID="_x0000_i1027" DrawAspect="Content" ObjectID="_1612937110" r:id="rId13"/>
              </w:object>
            </w:r>
          </w:p>
        </w:tc>
        <w:tc>
          <w:tcPr>
            <w:tcW w:w="3497" w:type="dxa"/>
            <w:gridSpan w:val="2"/>
            <w:tcBorders>
              <w:bottom w:val="nil"/>
            </w:tcBorders>
            <w:shd w:val="clear" w:color="FF0000" w:fill="auto"/>
          </w:tcPr>
          <w:p w:rsidR="00E40505" w:rsidRDefault="00E40505" w:rsidP="00E40505">
            <w:pPr>
              <w:pStyle w:val="Blocktext"/>
              <w:ind w:left="0"/>
              <w:jc w:val="center"/>
              <w:rPr>
                <w:rFonts w:cs="Arial"/>
              </w:rPr>
            </w:pPr>
            <w:r>
              <w:rPr>
                <w:sz w:val="24"/>
              </w:rPr>
              <w:object w:dxaOrig="1416" w:dyaOrig="1416">
                <v:shape id="_x0000_i1028" type="#_x0000_t75" style="width:62.4pt;height:62.4pt" o:ole="" fillcolor="window">
                  <v:imagedata r:id="rId14" o:title=""/>
                </v:shape>
                <o:OLEObject Type="Embed" ProgID="MSPhotoEd.3" ShapeID="_x0000_i1028" DrawAspect="Content" ObjectID="_1612937111" r:id="rId15"/>
              </w:object>
            </w:r>
          </w:p>
        </w:tc>
        <w:tc>
          <w:tcPr>
            <w:tcW w:w="3497" w:type="dxa"/>
            <w:gridSpan w:val="3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E40505" w:rsidRDefault="00CA04BE" w:rsidP="00E40505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shape id="_x0000_i1029" type="#_x0000_t75" style="width:62.4pt;height:62.4pt" fillcolor="window">
                  <v:imagedata r:id="rId16" o:title="Zutritt"/>
                </v:shape>
              </w:pict>
            </w:r>
          </w:p>
        </w:tc>
      </w:tr>
      <w:tr w:rsidR="00E40505">
        <w:trPr>
          <w:cantSplit/>
        </w:trPr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E40505" w:rsidRDefault="00E40505" w:rsidP="00E40505">
            <w:pPr>
              <w:pStyle w:val="Blocktex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Die mit T gekennzeichneten Stoffe und Zubereitungen sind unter Verschluss oder so aufzubewahren, dass nur fachkundige Personen Zugang haben. </w:t>
            </w:r>
          </w:p>
          <w:p w:rsidR="00E40505" w:rsidRDefault="00E40505" w:rsidP="00E40505">
            <w:pPr>
              <w:pStyle w:val="Blocktext"/>
              <w:ind w:left="0"/>
            </w:pPr>
            <w:r>
              <w:rPr>
                <w:b/>
                <w:bCs/>
              </w:rPr>
              <w:t>Augenschutz</w:t>
            </w:r>
            <w:r>
              <w:t>:</w:t>
            </w:r>
            <w:r>
              <w:tab/>
              <w:t xml:space="preserve">Schutzbrille mit Seitenschutz </w:t>
            </w:r>
          </w:p>
          <w:p w:rsidR="00E40505" w:rsidRDefault="00E40505" w:rsidP="00E40505">
            <w:pPr>
              <w:pStyle w:val="Blocktext"/>
              <w:spacing w:before="0"/>
              <w:ind w:left="0"/>
            </w:pPr>
            <w:r>
              <w:rPr>
                <w:b/>
                <w:bCs/>
              </w:rPr>
              <w:t>Handschutz</w:t>
            </w:r>
            <w:r>
              <w:t xml:space="preserve">: </w:t>
            </w:r>
            <w:r>
              <w:tab/>
              <w:t>Schutzhandschuhe - Nicht geeignet sind Handschuhe aus Naturlatex.</w:t>
            </w:r>
          </w:p>
          <w:p w:rsidR="00E40505" w:rsidRDefault="00E40505" w:rsidP="00E40505">
            <w:pPr>
              <w:numPr>
                <w:ilvl w:val="0"/>
                <w:numId w:val="13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Kontakt mit Haut, Augen und Kleidung vermeiden. Hautschutzpräparate benutzen.</w:t>
            </w:r>
          </w:p>
          <w:p w:rsidR="00E40505" w:rsidRDefault="00E40505" w:rsidP="00E40505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Benutzen Sie (vor allem beim Ab- und Umfüllen – Staubbildung!) die funktionstüchtigen Schutzeinrichtungen, z.B. Abzüge, Absaugungen </w:t>
            </w:r>
          </w:p>
          <w:p w:rsidR="00E40505" w:rsidRDefault="00E40505" w:rsidP="00E40505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Behälter mit Vorsicht öffnen und handhaben.</w:t>
            </w:r>
          </w:p>
          <w:p w:rsidR="00E40505" w:rsidRDefault="00E40505" w:rsidP="00E40505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 gekennzeichnete Gefäße benutzen, nicht </w:t>
            </w:r>
            <w:proofErr w:type="gramStart"/>
            <w:r>
              <w:rPr>
                <w:rFonts w:ascii="Arial" w:hAnsi="Arial"/>
              </w:rPr>
              <w:t>offen stehen</w:t>
            </w:r>
            <w:proofErr w:type="gramEnd"/>
            <w:r>
              <w:rPr>
                <w:rFonts w:ascii="Arial" w:hAnsi="Arial"/>
              </w:rPr>
              <w:t xml:space="preserve"> lassen.</w:t>
            </w:r>
          </w:p>
          <w:p w:rsidR="00E40505" w:rsidRDefault="00E40505" w:rsidP="00E40505">
            <w:pPr>
              <w:numPr>
                <w:ilvl w:val="0"/>
                <w:numId w:val="13"/>
              </w:num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t>Machen Sie sich vor Beginn der Arbeiten mit den notwendigen Sicherheitseinrichtungen vertraut, d.h. Feuerlöscher, Löschdecken, Notdusche, Notruf etc.</w:t>
            </w:r>
          </w:p>
        </w:tc>
      </w:tr>
      <w:tr w:rsidR="00E40505"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E40505" w:rsidRDefault="00E40505" w:rsidP="00E4050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E40505">
        <w:trPr>
          <w:cantSplit/>
        </w:trPr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E40505" w:rsidRDefault="00E40505" w:rsidP="00E40505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Gefahrenfall alle Anwesenden warnen, betroffenen Bereich räumen. </w:t>
            </w:r>
          </w:p>
          <w:p w:rsidR="00E40505" w:rsidRDefault="00E40505" w:rsidP="00E40505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Bei Beseitigen von Gefahr Schutzausrüstung tragen. In Ausnahmesituationen (z.B. unbeabsichtigte Stofffreisetzung mit (potenzieller) Luftgrenzwertüberschreitung) ist das Tragen von Atemschutz erforderlich. (entsprechenden Filter benutzen)</w:t>
            </w:r>
          </w:p>
          <w:p w:rsidR="00E40505" w:rsidRDefault="00E40505" w:rsidP="00E40505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 Flüssigkeiten mit einem Bindemittel aufnehmen und vorschriftsmäßig entsorgen.</w:t>
            </w:r>
          </w:p>
          <w:p w:rsidR="00E40505" w:rsidRDefault="00E40505" w:rsidP="00E40505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b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Eindringen in Kanalisation, verhindern. </w:t>
            </w:r>
          </w:p>
        </w:tc>
      </w:tr>
      <w:tr w:rsidR="00E40505">
        <w:tc>
          <w:tcPr>
            <w:tcW w:w="7571" w:type="dxa"/>
            <w:gridSpan w:val="6"/>
            <w:tcBorders>
              <w:left w:val="single" w:sz="48" w:space="0" w:color="FFCC00"/>
              <w:bottom w:val="nil"/>
            </w:tcBorders>
            <w:shd w:val="clear" w:color="FF0000" w:fill="FFCC00"/>
          </w:tcPr>
          <w:p w:rsidR="00E40505" w:rsidRDefault="00E40505" w:rsidP="00E4050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bottom w:val="nil"/>
              <w:right w:val="single" w:sz="48" w:space="0" w:color="FFCC00"/>
            </w:tcBorders>
            <w:shd w:val="clear" w:color="FF0000" w:fill="FFFF00"/>
          </w:tcPr>
          <w:p w:rsidR="00E40505" w:rsidRDefault="00E40505" w:rsidP="00E40505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E40505">
        <w:trPr>
          <w:trHeight w:val="256"/>
        </w:trPr>
        <w:tc>
          <w:tcPr>
            <w:tcW w:w="1617" w:type="dxa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E40505" w:rsidRDefault="00E40505" w:rsidP="00E40505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30" type="#_x0000_t75" style="width:58.8pt;height:71.4pt" o:ole="">
                  <v:imagedata r:id="rId17" o:title=""/>
                </v:shape>
                <o:OLEObject Type="Embed" ProgID="PBrush" ShapeID="_x0000_i1030" DrawAspect="Content" ObjectID="_1612937112" r:id="rId18"/>
              </w:object>
            </w:r>
          </w:p>
        </w:tc>
        <w:tc>
          <w:tcPr>
            <w:tcW w:w="8873" w:type="dxa"/>
            <w:gridSpan w:val="7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E40505" w:rsidRDefault="00E40505" w:rsidP="00E40505">
            <w:pPr>
              <w:pStyle w:val="Blocktext"/>
              <w:ind w:left="2055" w:right="72" w:hanging="1984"/>
            </w:pPr>
            <w:r>
              <w:t xml:space="preserve">Nach Hautkontakt: </w:t>
            </w:r>
            <w:r>
              <w:tab/>
              <w:t xml:space="preserve">Mit reichlich Wasser abwaschen. </w:t>
            </w:r>
            <w:bookmarkStart w:id="1" w:name="OLE_LINK1"/>
            <w:r>
              <w:t>Je nach Giftstoff mit 2 %</w:t>
            </w:r>
            <w:proofErr w:type="spellStart"/>
            <w:r>
              <w:t>iger</w:t>
            </w:r>
            <w:proofErr w:type="spellEnd"/>
            <w:r>
              <w:t xml:space="preserve"> </w:t>
            </w:r>
            <w:proofErr w:type="spellStart"/>
            <w:r>
              <w:t>Natriumbicarbonatlösung</w:t>
            </w:r>
            <w:proofErr w:type="spellEnd"/>
            <w:r>
              <w:t xml:space="preserve"> oder </w:t>
            </w:r>
            <w:proofErr w:type="spellStart"/>
            <w:r>
              <w:t>Polyethylenglykol</w:t>
            </w:r>
            <w:proofErr w:type="spellEnd"/>
            <w:r>
              <w:t xml:space="preserve"> reinigen, dann mit Wasser abspülen. </w:t>
            </w:r>
            <w:bookmarkEnd w:id="1"/>
            <w:r>
              <w:t>Benetzte Kleidung entfernen.</w:t>
            </w:r>
            <w:r>
              <w:sym w:font="Directions MT" w:char="F056"/>
            </w:r>
            <w:r>
              <w:t xml:space="preserve"> Arzt.</w:t>
            </w:r>
          </w:p>
          <w:p w:rsidR="00E40505" w:rsidRDefault="00E40505" w:rsidP="00E40505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>Bei gut geöffnetem Lidspalt mindestens 10 Minuten unter fließendem kalten Wasser spülen (Augendusche).</w:t>
            </w:r>
          </w:p>
          <w:p w:rsidR="00E40505" w:rsidRDefault="00E40505" w:rsidP="00E40505">
            <w:pPr>
              <w:pStyle w:val="Blocktext"/>
              <w:spacing w:before="0"/>
              <w:ind w:left="2055" w:hanging="1984"/>
            </w:pPr>
            <w:r>
              <w:t>Nach Einatmen:</w:t>
            </w:r>
            <w:r>
              <w:tab/>
              <w:t xml:space="preserve">Frischluft. </w:t>
            </w:r>
            <w:proofErr w:type="spellStart"/>
            <w:r>
              <w:t>Auxilon</w:t>
            </w:r>
            <w:proofErr w:type="spellEnd"/>
            <w:r>
              <w:t>-Dosier-Aerosol tief einatmen lassen.</w:t>
            </w:r>
            <w:r>
              <w:sym w:font="Directions MT" w:char="F056"/>
            </w:r>
            <w:r>
              <w:t xml:space="preserve"> Arzt.</w:t>
            </w:r>
          </w:p>
          <w:p w:rsidR="00E40505" w:rsidRDefault="00E40505" w:rsidP="00E40505">
            <w:pPr>
              <w:pStyle w:val="Blocktext"/>
              <w:spacing w:before="0"/>
              <w:ind w:left="2055" w:hanging="1984"/>
            </w:pPr>
            <w:r>
              <w:t>Nach Verschlucken:</w:t>
            </w:r>
            <w:r>
              <w:tab/>
              <w:t>Viel Wasser trinken, falls vorhanden mit Aktivkohle-Zusatz.</w:t>
            </w:r>
          </w:p>
          <w:p w:rsidR="00E40505" w:rsidRDefault="00E40505" w:rsidP="00E40505">
            <w:pPr>
              <w:pStyle w:val="Blocktext"/>
              <w:spacing w:before="0"/>
              <w:ind w:left="2055" w:hanging="1984"/>
            </w:pPr>
            <w:r>
              <w:t>Bei Unfall oder Unwohlsein sofort Arzt hinzuziehen (wenn möglich das Etikett vorzeigen).</w:t>
            </w:r>
          </w:p>
          <w:p w:rsidR="00E40505" w:rsidRDefault="00CA04BE" w:rsidP="00E40505">
            <w:pPr>
              <w:pStyle w:val="Blocktext"/>
              <w:spacing w:before="0"/>
              <w:ind w:left="2055" w:hanging="1984"/>
            </w:pPr>
            <w:hyperlink r:id="rId19" w:history="1">
              <w:r w:rsidR="00E40505">
                <w:rPr>
                  <w:rStyle w:val="Hyperlink"/>
                </w:rPr>
                <w:t>Giftinformationszentrale</w:t>
              </w:r>
            </w:hyperlink>
            <w:r w:rsidR="00E40505">
              <w:t xml:space="preserve"> (Tel. 06131/19240, Uni Mainz) </w:t>
            </w:r>
          </w:p>
        </w:tc>
      </w:tr>
      <w:tr w:rsidR="00E40505">
        <w:tc>
          <w:tcPr>
            <w:tcW w:w="10490" w:type="dxa"/>
            <w:gridSpan w:val="8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E40505" w:rsidRDefault="00E40505" w:rsidP="00E4050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E40505">
        <w:tc>
          <w:tcPr>
            <w:tcW w:w="10490" w:type="dxa"/>
            <w:gridSpan w:val="8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</w:tcPr>
          <w:p w:rsidR="00E40505" w:rsidRDefault="00E40505" w:rsidP="00E40505">
            <w:pPr>
              <w:pStyle w:val="Blocktext"/>
              <w:spacing w:before="0"/>
              <w:ind w:left="923"/>
            </w:pPr>
            <w:r>
              <w:t>Abfälle in geschlossenen Behältern sammeln und nach Anweisung des Abfallbeauftragten über das zentrale Zwischenlager Tel.: 798 - 29392 entsorgen.</w:t>
            </w:r>
          </w:p>
        </w:tc>
      </w:tr>
    </w:tbl>
    <w:p w:rsidR="009E3275" w:rsidRPr="002B6FBE" w:rsidRDefault="009E3275">
      <w:pPr>
        <w:spacing w:before="120"/>
        <w:ind w:right="-1"/>
        <w:rPr>
          <w:sz w:val="2"/>
        </w:rPr>
      </w:pPr>
    </w:p>
    <w:sectPr w:rsidR="009E3275" w:rsidRPr="002B6FBE" w:rsidSect="002B6FBE">
      <w:headerReference w:type="even" r:id="rId20"/>
      <w:headerReference w:type="default" r:id="rId21"/>
      <w:footerReference w:type="first" r:id="rId22"/>
      <w:pgSz w:w="11906" w:h="16838" w:code="9"/>
      <w:pgMar w:top="465" w:right="566" w:bottom="709" w:left="1474" w:header="720" w:footer="4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75" w:rsidRDefault="009E3275">
      <w:r>
        <w:separator/>
      </w:r>
    </w:p>
  </w:endnote>
  <w:endnote w:type="continuationSeparator" w:id="0">
    <w:p w:rsidR="009E3275" w:rsidRDefault="009E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rections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75" w:rsidRDefault="009E3275">
    <w:pPr>
      <w:pStyle w:val="Fuzeile"/>
      <w:jc w:val="right"/>
    </w:pPr>
    <w:r>
      <w:t>Stand 201</w:t>
    </w:r>
    <w:r w:rsidR="00E4050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75" w:rsidRDefault="009E3275">
      <w:r>
        <w:separator/>
      </w:r>
    </w:p>
  </w:footnote>
  <w:footnote w:type="continuationSeparator" w:id="0">
    <w:p w:rsidR="009E3275" w:rsidRDefault="009E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75" w:rsidRDefault="009E3275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75" w:rsidRDefault="009E327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9E3275" w:rsidRDefault="009E3275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46BA1EB3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FBE"/>
    <w:rsid w:val="002B6FBE"/>
    <w:rsid w:val="009E3275"/>
    <w:rsid w:val="00CA04BE"/>
    <w:rsid w:val="00E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4973A7A8-CF26-4561-9A74-2641CCF5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unece.org/trans/danger/publi/ghs/pictograms/silhouete.gi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giftinfo.uni-mainz.de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skull.gif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3163</CharactersWithSpaces>
  <SharedDoc>false</SharedDoc>
  <HLinks>
    <vt:vector size="6" baseType="variant">
      <vt:variant>
        <vt:i4>786506</vt:i4>
      </vt:variant>
      <vt:variant>
        <vt:i4>15</vt:i4>
      </vt:variant>
      <vt:variant>
        <vt:i4>0</vt:i4>
      </vt:variant>
      <vt:variant>
        <vt:i4>5</vt:i4>
      </vt:variant>
      <vt:variant>
        <vt:lpwstr>http://www.giftinfo.uni-mainz.de/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2001-07-18T15:32:00Z</cp:lastPrinted>
  <dcterms:created xsi:type="dcterms:W3CDTF">2019-03-01T08:16:00Z</dcterms:created>
  <dcterms:modified xsi:type="dcterms:W3CDTF">2019-03-01T08:16:00Z</dcterms:modified>
</cp:coreProperties>
</file>