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368"/>
        <w:gridCol w:w="3260"/>
        <w:gridCol w:w="2326"/>
        <w:gridCol w:w="1076"/>
        <w:gridCol w:w="1843"/>
      </w:tblGrid>
      <w:tr w:rsidR="006B6BC6">
        <w:trPr>
          <w:cantSplit/>
          <w:trHeight w:val="1702"/>
        </w:trPr>
        <w:tc>
          <w:tcPr>
            <w:tcW w:w="5245" w:type="dxa"/>
            <w:gridSpan w:val="4"/>
            <w:tcBorders>
              <w:top w:val="single" w:sz="48" w:space="0" w:color="FFCC00"/>
              <w:left w:val="single" w:sz="48" w:space="0" w:color="FFCC00"/>
              <w:bottom w:val="single" w:sz="4" w:space="0" w:color="auto"/>
            </w:tcBorders>
            <w:shd w:val="clear" w:color="FF0000" w:fill="auto"/>
            <w:vAlign w:val="center"/>
          </w:tcPr>
          <w:p w:rsidR="006B6BC6" w:rsidRDefault="00723F00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Betriebsanweisung für Tätigkeiten mit Gefahrstoffen</w:t>
            </w:r>
          </w:p>
          <w:p w:rsidR="006B6BC6" w:rsidRDefault="00723F00">
            <w:pPr>
              <w:spacing w:before="120" w:line="24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6B6BC6" w:rsidRDefault="006B6BC6">
            <w:pPr>
              <w:spacing w:line="160" w:lineRule="atLeas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auto"/>
              <w:right w:val="single" w:sz="48" w:space="0" w:color="FFCC00"/>
            </w:tcBorders>
            <w:shd w:val="clear" w:color="FF0000" w:fill="auto"/>
          </w:tcPr>
          <w:p w:rsidR="006B6BC6" w:rsidRDefault="000C78A7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40" type="#_x0000_t75" style="position:absolute;left:0;text-align:left;margin-left:97.95pt;margin-top:6.95pt;width:153pt;height:1in;z-index:251657728;visibility:visible;mso-position-horizontal-relative:text;mso-position-vertical-relative:text">
                  <v:imagedata r:id="rId7" o:title="logo-sw-klein"/>
                </v:shape>
              </w:pict>
            </w:r>
          </w:p>
        </w:tc>
      </w:tr>
      <w:tr w:rsidR="006B6BC6">
        <w:tc>
          <w:tcPr>
            <w:tcW w:w="10490" w:type="dxa"/>
            <w:gridSpan w:val="7"/>
            <w:tcBorders>
              <w:top w:val="single" w:sz="4" w:space="0" w:color="auto"/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6B6BC6" w:rsidRDefault="00723F00">
            <w:pPr>
              <w:pStyle w:val="berschrift4"/>
              <w:spacing w:before="120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Gesundheitsschädliche Gefahrstoffe, flüssig</w:t>
            </w:r>
          </w:p>
        </w:tc>
      </w:tr>
      <w:tr w:rsidR="006B6BC6">
        <w:trPr>
          <w:trHeight w:val="549"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6B6BC6" w:rsidRDefault="00723F00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z.B. Benzaldehyd, Ethylbromid, Perchlorethylen </w:t>
            </w:r>
          </w:p>
        </w:tc>
      </w:tr>
      <w:tr w:rsidR="006B6BC6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6B6BC6" w:rsidRDefault="00723F00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723F00" w:rsidTr="00723F00">
        <w:trPr>
          <w:cantSplit/>
        </w:trPr>
        <w:tc>
          <w:tcPr>
            <w:tcW w:w="1985" w:type="dxa"/>
            <w:gridSpan w:val="3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723F00" w:rsidRDefault="00723F00" w:rsidP="00723F00">
            <w:pPr>
              <w:jc w:val="center"/>
              <w:rPr>
                <w:rFonts w:ascii="Arial" w:hAnsi="Arial" w:cs="Arial"/>
                <w:sz w:val="16"/>
              </w:rPr>
            </w:pPr>
          </w:p>
          <w:p w:rsidR="00723F00" w:rsidRDefault="00723F00" w:rsidP="00723F00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"http://www.unece.org/trans/danger/publi/ghs/pictograms/silhouete.gif" \* MERGEFORMATINET </w:instrText>
            </w:r>
            <w:r>
              <w:fldChar w:fldCharType="separate"/>
            </w:r>
            <w:r w:rsidR="000C78A7">
              <w:fldChar w:fldCharType="begin"/>
            </w:r>
            <w:r w:rsidR="000C78A7">
              <w:instrText xml:space="preserve"> </w:instrText>
            </w:r>
            <w:r w:rsidR="000C78A7">
              <w:instrText>INCLUDEPICTURE  "http://www.unece.org/trans/danger/publi/ghs/pictograms/silhouete.gif" \* MERGEFORMATINET</w:instrText>
            </w:r>
            <w:r w:rsidR="000C78A7">
              <w:instrText xml:space="preserve"> </w:instrText>
            </w:r>
            <w:r w:rsidR="000C78A7">
              <w:fldChar w:fldCharType="separate"/>
            </w:r>
            <w:r w:rsidR="000C78A7">
              <w:pict>
                <v:shape id="_x0000_i1025" type="#_x0000_t75" alt="" style="width:85.8pt;height:85.8pt">
                  <v:imagedata r:id="rId8" r:href="rId9"/>
                </v:shape>
              </w:pict>
            </w:r>
            <w:r w:rsidR="000C78A7">
              <w:fldChar w:fldCharType="end"/>
            </w:r>
            <w:r>
              <w:fldChar w:fldCharType="end"/>
            </w:r>
          </w:p>
          <w:p w:rsidR="00723F00" w:rsidRDefault="00723F00" w:rsidP="00723F00">
            <w:pPr>
              <w:pStyle w:val="berschrift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Gefahr</w:t>
            </w:r>
          </w:p>
        </w:tc>
        <w:tc>
          <w:tcPr>
            <w:tcW w:w="6662" w:type="dxa"/>
            <w:gridSpan w:val="3"/>
            <w:tcBorders>
              <w:bottom w:val="nil"/>
              <w:right w:val="nil"/>
            </w:tcBorders>
            <w:shd w:val="clear" w:color="FF0000" w:fill="auto"/>
          </w:tcPr>
          <w:p w:rsidR="00723F00" w:rsidRDefault="00723F00" w:rsidP="00723F00">
            <w:pPr>
              <w:numPr>
                <w:ilvl w:val="0"/>
                <w:numId w:val="6"/>
              </w:numPr>
              <w:spacing w:before="12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Stoffe können bereits in sehr geringen Mengen beim Einatmen, Verschlucken oder Aufnahme durch die Haut erhebliche akute oder chronische Gesundheitsschäden hervorrufen. </w:t>
            </w:r>
          </w:p>
          <w:p w:rsidR="00723F00" w:rsidRDefault="00723F00" w:rsidP="00723F00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Zum Teil besitzen diese Substanzen noch andere Eigenschaften z.B. leichtentzündlich oder ätzend.</w:t>
            </w:r>
          </w:p>
          <w:p w:rsidR="00723F00" w:rsidRDefault="00723F00" w:rsidP="00723F00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Es können gefährliche Zersetzprodukte entstehen.</w:t>
            </w:r>
          </w:p>
          <w:p w:rsidR="00723F00" w:rsidRDefault="00723F00" w:rsidP="00723F00">
            <w:pPr>
              <w:numPr>
                <w:ilvl w:val="0"/>
                <w:numId w:val="6"/>
              </w:num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Die Dämpfe sind häufig schwerer als Luft.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8" w:space="0" w:color="FFCC00"/>
            </w:tcBorders>
            <w:shd w:val="clear" w:color="FF0000" w:fill="auto"/>
          </w:tcPr>
          <w:p w:rsidR="00723F00" w:rsidRDefault="00723F00" w:rsidP="00723F00">
            <w:pPr>
              <w:jc w:val="center"/>
              <w:rPr>
                <w:rFonts w:ascii="Arial" w:hAnsi="Arial" w:cs="Arial"/>
                <w:sz w:val="16"/>
              </w:rPr>
            </w:pPr>
          </w:p>
          <w:p w:rsidR="00723F00" w:rsidRDefault="00723F00" w:rsidP="00723F00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"http://www.unece.org/trans/danger/publi/ghs/pictograms/exclam.gif" \* MERGEFORMATINET </w:instrText>
            </w:r>
            <w:r>
              <w:fldChar w:fldCharType="separate"/>
            </w:r>
            <w:r w:rsidR="000C78A7">
              <w:fldChar w:fldCharType="begin"/>
            </w:r>
            <w:r w:rsidR="000C78A7">
              <w:instrText xml:space="preserve"> </w:instrText>
            </w:r>
            <w:r w:rsidR="000C78A7">
              <w:instrText>INCLUDEPICTURE  "http://www.unece.org/trans/danger/publi/ghs/pictograms/exc</w:instrText>
            </w:r>
            <w:r w:rsidR="000C78A7">
              <w:instrText>lam.gif" \* MERGEFORMATINET</w:instrText>
            </w:r>
            <w:r w:rsidR="000C78A7">
              <w:instrText xml:space="preserve"> </w:instrText>
            </w:r>
            <w:r w:rsidR="000C78A7">
              <w:fldChar w:fldCharType="separate"/>
            </w:r>
            <w:r w:rsidR="000C78A7">
              <w:pict w14:anchorId="792F7824">
                <v:shape id="_x0000_i1026" type="#_x0000_t75" alt="" style="width:84pt;height:84pt">
                  <v:imagedata r:id="rId10" r:href="rId11"/>
                </v:shape>
              </w:pict>
            </w:r>
            <w:r w:rsidR="000C78A7">
              <w:fldChar w:fldCharType="end"/>
            </w:r>
            <w:r>
              <w:fldChar w:fldCharType="end"/>
            </w:r>
          </w:p>
          <w:p w:rsidR="00723F00" w:rsidRDefault="00723F00" w:rsidP="00723F00">
            <w:pPr>
              <w:pStyle w:val="berschrift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Achtung</w:t>
            </w:r>
          </w:p>
        </w:tc>
      </w:tr>
      <w:tr w:rsidR="00723F00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723F00" w:rsidRDefault="00723F00" w:rsidP="00723F0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723F00" w:rsidTr="00723F00">
        <w:tc>
          <w:tcPr>
            <w:tcW w:w="1560" w:type="dxa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723F00" w:rsidRDefault="00723F00" w:rsidP="00723F00">
            <w:pPr>
              <w:pStyle w:val="berschrift4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object w:dxaOrig="1416" w:dyaOrig="1416">
                <v:shape id="_x0000_i1027" type="#_x0000_t75" style="width:67.8pt;height:67.8pt" o:ole="" fillcolor="window">
                  <v:imagedata r:id="rId12" o:title=""/>
                </v:shape>
                <o:OLEObject Type="Embed" ProgID="MSPhotoEd.3" ShapeID="_x0000_i1027" DrawAspect="Content" ObjectID="_1612937512" r:id="rId13"/>
              </w:object>
            </w:r>
            <w:r>
              <w:rPr>
                <w:rFonts w:ascii="Arial" w:hAnsi="Arial"/>
                <w:sz w:val="24"/>
              </w:rPr>
              <w:object w:dxaOrig="1416" w:dyaOrig="1416">
                <v:shape id="_x0000_i1028" type="#_x0000_t75" style="width:70.8pt;height:70.8pt" o:ole="" fillcolor="window">
                  <v:imagedata r:id="rId14" o:title=""/>
                </v:shape>
                <o:OLEObject Type="Embed" ProgID="MSPhotoEd.3" ShapeID="_x0000_i1028" DrawAspect="Content" ObjectID="_1612937513" r:id="rId15"/>
              </w:object>
            </w:r>
          </w:p>
        </w:tc>
        <w:tc>
          <w:tcPr>
            <w:tcW w:w="7087" w:type="dxa"/>
            <w:gridSpan w:val="5"/>
            <w:tcBorders>
              <w:bottom w:val="nil"/>
            </w:tcBorders>
            <w:shd w:val="clear" w:color="FF0000" w:fill="auto"/>
          </w:tcPr>
          <w:p w:rsidR="00723F00" w:rsidRDefault="00723F00" w:rsidP="00723F00">
            <w:pPr>
              <w:pStyle w:val="Blocktext"/>
              <w:ind w:left="0"/>
            </w:pPr>
            <w:r>
              <w:rPr>
                <w:b/>
                <w:bCs/>
              </w:rPr>
              <w:t>Augenschutz</w:t>
            </w:r>
            <w:r>
              <w:t>:</w:t>
            </w:r>
            <w:r>
              <w:tab/>
              <w:t xml:space="preserve">Schutzbrille mit Seitenschutz. </w:t>
            </w:r>
          </w:p>
          <w:p w:rsidR="00723F00" w:rsidRDefault="00723F00" w:rsidP="00723F00">
            <w:pPr>
              <w:pStyle w:val="Blocktext"/>
              <w:ind w:left="0"/>
            </w:pPr>
            <w:r>
              <w:rPr>
                <w:b/>
                <w:bCs/>
              </w:rPr>
              <w:t>Handschutz</w:t>
            </w:r>
            <w:r>
              <w:t xml:space="preserve">: </w:t>
            </w:r>
            <w:r>
              <w:tab/>
              <w:t>Schutzhandschuhe</w:t>
            </w:r>
          </w:p>
          <w:p w:rsidR="00723F00" w:rsidRDefault="00723F00" w:rsidP="00723F00">
            <w:pPr>
              <w:numPr>
                <w:ilvl w:val="0"/>
                <w:numId w:val="14"/>
              </w:numPr>
              <w:spacing w:before="120"/>
              <w:ind w:right="214"/>
            </w:pPr>
            <w:r>
              <w:rPr>
                <w:rFonts w:ascii="Arial" w:hAnsi="Arial"/>
              </w:rPr>
              <w:t xml:space="preserve">Kontakt mit Haut, Augen und Kleidung vermeiden. Hautschutzpräparate benutzen. </w:t>
            </w:r>
            <w:r>
              <w:t xml:space="preserve"> </w:t>
            </w:r>
          </w:p>
          <w:p w:rsidR="00723F00" w:rsidRDefault="00723F00" w:rsidP="00723F00">
            <w:pPr>
              <w:numPr>
                <w:ilvl w:val="0"/>
                <w:numId w:val="14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gekennzeichnete Gefäße benutzen, nicht </w:t>
            </w:r>
            <w:proofErr w:type="gramStart"/>
            <w:r>
              <w:rPr>
                <w:rFonts w:ascii="Arial" w:hAnsi="Arial"/>
              </w:rPr>
              <w:t>offen stehen</w:t>
            </w:r>
            <w:proofErr w:type="gramEnd"/>
            <w:r>
              <w:rPr>
                <w:rFonts w:ascii="Arial" w:hAnsi="Arial"/>
              </w:rPr>
              <w:t xml:space="preserve"> lassen.</w:t>
            </w:r>
          </w:p>
          <w:p w:rsidR="00723F00" w:rsidRDefault="00723F00" w:rsidP="00723F00">
            <w:pPr>
              <w:numPr>
                <w:ilvl w:val="0"/>
                <w:numId w:val="14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Verspritzen vermeiden.</w:t>
            </w:r>
          </w:p>
          <w:p w:rsidR="00723F00" w:rsidRDefault="00723F00" w:rsidP="00723F00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Benutzen Sie die funktionstüchtigen Schutzeinrichtungen, z.B. Abzüge, Absaugungen </w:t>
            </w:r>
          </w:p>
          <w:p w:rsidR="00723F00" w:rsidRDefault="00723F00" w:rsidP="00723F00">
            <w:pPr>
              <w:numPr>
                <w:ilvl w:val="0"/>
                <w:numId w:val="15"/>
              </w:numPr>
              <w:ind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Machen Sie sich vor Beginn der Arbeiten mit den notwendigen Sicherheitseinrichtungen vertraut, d.h. Feuerlöscher, Löschdecken, Notdusche, Notruf etc. </w:t>
            </w:r>
          </w:p>
        </w:tc>
        <w:tc>
          <w:tcPr>
            <w:tcW w:w="1843" w:type="dxa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723F00" w:rsidRDefault="00723F00" w:rsidP="00723F0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723F00" w:rsidRDefault="000C78A7" w:rsidP="00723F0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pict>
                <v:shape id="_x0000_i1029" type="#_x0000_t75" style="width:70.8pt;height:70.8pt" fillcolor="window">
                  <v:imagedata r:id="rId16" o:title="Feuer-v"/>
                </v:shape>
              </w:pict>
            </w:r>
          </w:p>
        </w:tc>
      </w:tr>
      <w:tr w:rsidR="00723F00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723F00" w:rsidRDefault="00723F00" w:rsidP="00723F00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723F00">
        <w:trPr>
          <w:cantSplit/>
        </w:trPr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auto"/>
          </w:tcPr>
          <w:p w:rsidR="00723F00" w:rsidRDefault="00723F00" w:rsidP="00723F00">
            <w:pPr>
              <w:keepLines/>
              <w:numPr>
                <w:ilvl w:val="0"/>
                <w:numId w:val="1"/>
              </w:numPr>
              <w:spacing w:before="120"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Gefahrenfall alle Anwesenden warnen, betroffenen Bereich räumen. </w:t>
            </w:r>
          </w:p>
          <w:p w:rsidR="00723F00" w:rsidRDefault="00723F00" w:rsidP="00723F00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Bei Beseitigen von Gefahr Schutzausrüstung tragen. In Ausnahmesituationen (z.B. unbeabsichtigte Stofffreisetzung mit (potenzieller) Luftgrenzwertüberschreitung) ist das Tragen von Atemschutz erforderlich. (entsprechenden Filter benutzen)</w:t>
            </w:r>
          </w:p>
          <w:p w:rsidR="00723F00" w:rsidRDefault="00723F00" w:rsidP="00723F00">
            <w:pPr>
              <w:keepLines/>
              <w:numPr>
                <w:ilvl w:val="0"/>
                <w:numId w:val="1"/>
              </w:numPr>
              <w:spacing w:line="240" w:lineRule="exact"/>
              <w:ind w:left="284" w:hanging="284"/>
              <w:rPr>
                <w:b/>
              </w:rPr>
            </w:pPr>
            <w:r>
              <w:rPr>
                <w:rFonts w:ascii="Arial" w:hAnsi="Arial"/>
                <w:i/>
              </w:rPr>
              <w:t>Lösungen</w:t>
            </w:r>
            <w:r>
              <w:rPr>
                <w:rFonts w:ascii="Arial" w:hAnsi="Arial"/>
              </w:rPr>
              <w:t xml:space="preserve"> neutralisieren. Mit Bindemittel aufnehmen und in geschlossenem Gebinde zur Entsorgung geben. </w:t>
            </w:r>
          </w:p>
          <w:p w:rsidR="00723F00" w:rsidRDefault="00723F00" w:rsidP="00723F00">
            <w:pPr>
              <w:keepLines/>
              <w:spacing w:line="240" w:lineRule="exact"/>
              <w:rPr>
                <w:b/>
              </w:rPr>
            </w:pPr>
          </w:p>
        </w:tc>
      </w:tr>
      <w:tr w:rsidR="00723F00">
        <w:tc>
          <w:tcPr>
            <w:tcW w:w="7571" w:type="dxa"/>
            <w:gridSpan w:val="5"/>
            <w:tcBorders>
              <w:left w:val="single" w:sz="48" w:space="0" w:color="FFCC00"/>
              <w:bottom w:val="nil"/>
            </w:tcBorders>
            <w:shd w:val="clear" w:color="FF0000" w:fill="FFCC00"/>
          </w:tcPr>
          <w:p w:rsidR="00723F00" w:rsidRDefault="00723F00" w:rsidP="00723F0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19" w:type="dxa"/>
            <w:gridSpan w:val="2"/>
            <w:tcBorders>
              <w:bottom w:val="nil"/>
              <w:right w:val="single" w:sz="48" w:space="0" w:color="FFCC00"/>
            </w:tcBorders>
            <w:shd w:val="clear" w:color="FF0000" w:fill="FFFF00"/>
          </w:tcPr>
          <w:p w:rsidR="00723F00" w:rsidRDefault="00723F00" w:rsidP="00723F00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723F00">
        <w:trPr>
          <w:trHeight w:val="1825"/>
        </w:trPr>
        <w:tc>
          <w:tcPr>
            <w:tcW w:w="1617" w:type="dxa"/>
            <w:gridSpan w:val="2"/>
            <w:tcBorders>
              <w:left w:val="single" w:sz="48" w:space="0" w:color="FFCC00"/>
              <w:bottom w:val="nil"/>
            </w:tcBorders>
            <w:shd w:val="clear" w:color="FF0000" w:fill="auto"/>
          </w:tcPr>
          <w:p w:rsidR="00723F00" w:rsidRDefault="00723F00" w:rsidP="00723F00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 id="_x0000_i1030" type="#_x0000_t75" style="width:58.8pt;height:71.4pt" o:ole="">
                  <v:imagedata r:id="rId17" o:title=""/>
                </v:shape>
                <o:OLEObject Type="Embed" ProgID="PBrush" ShapeID="_x0000_i1030" DrawAspect="Content" ObjectID="_1612937514" r:id="rId18"/>
              </w:object>
            </w:r>
          </w:p>
        </w:tc>
        <w:tc>
          <w:tcPr>
            <w:tcW w:w="8873" w:type="dxa"/>
            <w:gridSpan w:val="5"/>
            <w:tcBorders>
              <w:bottom w:val="nil"/>
              <w:right w:val="single" w:sz="48" w:space="0" w:color="FFCC00"/>
            </w:tcBorders>
            <w:shd w:val="clear" w:color="FF0000" w:fill="auto"/>
          </w:tcPr>
          <w:p w:rsidR="00723F00" w:rsidRDefault="00723F00" w:rsidP="00723F00">
            <w:pPr>
              <w:pStyle w:val="Blocktext"/>
              <w:ind w:left="2055" w:hanging="1984"/>
            </w:pPr>
            <w:r>
              <w:t xml:space="preserve">Nach Hautkontakt: </w:t>
            </w:r>
            <w:r>
              <w:tab/>
              <w:t>Mit reichlich Wasser mit Seife abwaschen. Benetzte Kleidung ausziehen. Keinesfalls Alkohol, Benzin oder andere Lösungsmittel verwenden.</w:t>
            </w:r>
          </w:p>
          <w:p w:rsidR="00723F00" w:rsidRDefault="00723F00" w:rsidP="00723F00">
            <w:pPr>
              <w:pStyle w:val="Blocktext"/>
              <w:spacing w:before="0"/>
              <w:ind w:left="2055" w:hanging="1984"/>
            </w:pPr>
            <w:r>
              <w:t>Nach Augenkontakt:</w:t>
            </w:r>
            <w:r>
              <w:tab/>
              <w:t>Bei gut geöffnetem Lidspalt mindestens 10 Minuten unter fließendem kalten Wasser spülen (Augendusche).</w:t>
            </w:r>
          </w:p>
          <w:p w:rsidR="00723F00" w:rsidRDefault="00723F00" w:rsidP="00723F00">
            <w:pPr>
              <w:pStyle w:val="Blocktext"/>
              <w:spacing w:before="0"/>
              <w:ind w:left="2055" w:hanging="1984"/>
            </w:pPr>
            <w:r>
              <w:t>Nach Einatmen:</w:t>
            </w:r>
            <w:r>
              <w:tab/>
              <w:t>Frischluft.</w:t>
            </w:r>
          </w:p>
          <w:p w:rsidR="00723F00" w:rsidRDefault="00723F00" w:rsidP="00723F00">
            <w:pPr>
              <w:pStyle w:val="Blocktext"/>
              <w:spacing w:before="0"/>
              <w:ind w:left="2055" w:hanging="1984"/>
            </w:pPr>
            <w:r>
              <w:t>Nach Verschlucken:</w:t>
            </w:r>
            <w:r>
              <w:tab/>
              <w:t>Viel Wasser trinken, falls vorhanden mit Aktivkohle-Zusatz.</w:t>
            </w:r>
          </w:p>
          <w:p w:rsidR="00723F00" w:rsidRDefault="00723F00" w:rsidP="00723F00">
            <w:pPr>
              <w:pStyle w:val="Blocktext"/>
              <w:spacing w:before="0"/>
              <w:ind w:left="2055" w:hanging="1984"/>
            </w:pPr>
            <w:r>
              <w:t>Bei Unfall oder Unwohlsein sofort Arzt hinzuziehen (wenn möglich das Etikett vorzeigen).</w:t>
            </w:r>
          </w:p>
        </w:tc>
      </w:tr>
      <w:tr w:rsidR="00723F00">
        <w:tc>
          <w:tcPr>
            <w:tcW w:w="10490" w:type="dxa"/>
            <w:gridSpan w:val="7"/>
            <w:tcBorders>
              <w:left w:val="single" w:sz="48" w:space="0" w:color="FFCC00"/>
              <w:bottom w:val="nil"/>
              <w:right w:val="single" w:sz="48" w:space="0" w:color="FFCC00"/>
            </w:tcBorders>
            <w:shd w:val="clear" w:color="FF0000" w:fill="FFCC00"/>
          </w:tcPr>
          <w:p w:rsidR="00723F00" w:rsidRDefault="00723F00" w:rsidP="00723F00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723F00">
        <w:trPr>
          <w:cantSplit/>
          <w:trHeight w:val="256"/>
        </w:trPr>
        <w:tc>
          <w:tcPr>
            <w:tcW w:w="10490" w:type="dxa"/>
            <w:gridSpan w:val="7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723F00" w:rsidRDefault="00723F00" w:rsidP="00723F00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Anweisung des Abfallbeauftragten über das zentrale Zwischenlager Tel.: 798 - 29392 entsorgen. </w:t>
            </w:r>
          </w:p>
        </w:tc>
      </w:tr>
    </w:tbl>
    <w:p w:rsidR="006B6BC6" w:rsidRDefault="006B6BC6">
      <w:pPr>
        <w:ind w:right="-1"/>
        <w:rPr>
          <w:sz w:val="2"/>
        </w:rPr>
      </w:pPr>
    </w:p>
    <w:sectPr w:rsidR="006B6BC6">
      <w:headerReference w:type="even" r:id="rId19"/>
      <w:headerReference w:type="default" r:id="rId20"/>
      <w:footerReference w:type="first" r:id="rId21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C6" w:rsidRDefault="00723F00">
      <w:r>
        <w:separator/>
      </w:r>
    </w:p>
  </w:endnote>
  <w:endnote w:type="continuationSeparator" w:id="0">
    <w:p w:rsidR="006B6BC6" w:rsidRDefault="0072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C6" w:rsidRDefault="00723F00">
    <w:pPr>
      <w:pStyle w:val="Fuzeile"/>
      <w:jc w:val="right"/>
    </w:pPr>
    <w:r>
      <w:t>Stand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C6" w:rsidRDefault="00723F00">
      <w:r>
        <w:separator/>
      </w:r>
    </w:p>
  </w:footnote>
  <w:footnote w:type="continuationSeparator" w:id="0">
    <w:p w:rsidR="006B6BC6" w:rsidRDefault="0072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C6" w:rsidRDefault="00723F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B6BC6" w:rsidRDefault="006B6B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C6" w:rsidRDefault="00723F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6BC6" w:rsidRDefault="006B6BC6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225EB"/>
    <w:multiLevelType w:val="hybridMultilevel"/>
    <w:tmpl w:val="E8A22344"/>
    <w:lvl w:ilvl="0" w:tplc="73F4F9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46BA1EB3"/>
    <w:multiLevelType w:val="singleLevel"/>
    <w:tmpl w:val="73F4F9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266596"/>
    <w:multiLevelType w:val="hybridMultilevel"/>
    <w:tmpl w:val="E8A2234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F00"/>
    <w:rsid w:val="000C78A7"/>
    <w:rsid w:val="006B6BC6"/>
    <w:rsid w:val="007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fillcolor="#f90" strokecolor="#fc0"/>
    </o:shapedefaults>
    <o:shapelayout v:ext="edit">
      <o:idmap v:ext="edit" data="1"/>
    </o:shapelayout>
  </w:shapeDefaults>
  <w:decimalSymbol w:val=","/>
  <w:listSeparator w:val=";"/>
  <w15:chartTrackingRefBased/>
  <w15:docId w15:val="{D66180C6-1011-4136-BECE-14FD1B8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Textkrper3">
    <w:name w:val="Body Text 3"/>
    <w:basedOn w:val="Standard"/>
    <w:semiHidden/>
    <w:pPr>
      <w:spacing w:before="120"/>
      <w:ind w:righ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unece.org/trans/danger/publi/ghs/pictograms/exclam.gi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unece.org/trans/danger/publi/ghs/pictograms/silhouete.gi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2691</CharactersWithSpaces>
  <SharedDoc>false</SharedDoc>
  <HLinks>
    <vt:vector size="24" baseType="variant">
      <vt:variant>
        <vt:i4>1572877</vt:i4>
      </vt:variant>
      <vt:variant>
        <vt:i4>1335</vt:i4>
      </vt:variant>
      <vt:variant>
        <vt:i4>1030</vt:i4>
      </vt:variant>
      <vt:variant>
        <vt:i4>1</vt:i4>
      </vt:variant>
      <vt:variant>
        <vt:lpwstr>http://www.unece.org/trans/danger/publi/ghs/pictograms/silhouete.gif</vt:lpwstr>
      </vt:variant>
      <vt:variant>
        <vt:lpwstr/>
      </vt:variant>
      <vt:variant>
        <vt:i4>4784212</vt:i4>
      </vt:variant>
      <vt:variant>
        <vt:i4>1451</vt:i4>
      </vt:variant>
      <vt:variant>
        <vt:i4>1031</vt:i4>
      </vt:variant>
      <vt:variant>
        <vt:i4>1</vt:i4>
      </vt:variant>
      <vt:variant>
        <vt:lpwstr>http://www.unece.org/trans/danger/publi/ghs/pictograms/exclam.gif</vt:lpwstr>
      </vt:variant>
      <vt:variant>
        <vt:lpwstr/>
      </vt:variant>
      <vt:variant>
        <vt:i4>1048585</vt:i4>
      </vt:variant>
      <vt:variant>
        <vt:i4>1820</vt:i4>
      </vt:variant>
      <vt:variant>
        <vt:i4>1029</vt:i4>
      </vt:variant>
      <vt:variant>
        <vt:i4>1</vt:i4>
      </vt:variant>
      <vt:variant>
        <vt:lpwstr>C:\Zeichen\Xn.gif</vt:lpwstr>
      </vt:variant>
      <vt:variant>
        <vt:lpwstr/>
      </vt:variant>
      <vt:variant>
        <vt:i4>3604549</vt:i4>
      </vt:variant>
      <vt:variant>
        <vt:i4>2410</vt:i4>
      </vt:variant>
      <vt:variant>
        <vt:i4>1027</vt:i4>
      </vt:variant>
      <vt:variant>
        <vt:i4>1</vt:i4>
      </vt:variant>
      <vt:variant>
        <vt:lpwstr>C:\Zeichen\Verbote\Feuer-v.gif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Kirchner, Wolfgang</cp:lastModifiedBy>
  <cp:revision>2</cp:revision>
  <cp:lastPrinted>2005-02-17T14:00:00Z</cp:lastPrinted>
  <dcterms:created xsi:type="dcterms:W3CDTF">2019-03-01T08:21:00Z</dcterms:created>
  <dcterms:modified xsi:type="dcterms:W3CDTF">2019-03-01T08:21:00Z</dcterms:modified>
</cp:coreProperties>
</file>