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Borders>
          <w:bottom w:val="single" w:sz="4" w:space="0" w:color="000000"/>
        </w:tblBorders>
        <w:tblLayout w:type="fixed"/>
        <w:tblCellMar>
          <w:left w:w="70" w:type="dxa"/>
          <w:right w:w="70" w:type="dxa"/>
        </w:tblCellMar>
        <w:tblLook w:val="0000" w:firstRow="0" w:lastRow="0" w:firstColumn="0" w:lastColumn="0" w:noHBand="0" w:noVBand="0"/>
      </w:tblPr>
      <w:tblGrid>
        <w:gridCol w:w="1617"/>
        <w:gridCol w:w="510"/>
        <w:gridCol w:w="495"/>
        <w:gridCol w:w="2623"/>
        <w:gridCol w:w="2326"/>
        <w:gridCol w:w="296"/>
        <w:gridCol w:w="922"/>
        <w:gridCol w:w="1701"/>
      </w:tblGrid>
      <w:tr w:rsidR="00982B0E">
        <w:trPr>
          <w:cantSplit/>
          <w:trHeight w:val="1701"/>
        </w:trPr>
        <w:tc>
          <w:tcPr>
            <w:tcW w:w="5245" w:type="dxa"/>
            <w:gridSpan w:val="4"/>
            <w:tcBorders>
              <w:top w:val="single" w:sz="48" w:space="0" w:color="FFCC00"/>
              <w:left w:val="single" w:sz="48" w:space="0" w:color="FFCC00"/>
              <w:bottom w:val="single" w:sz="4" w:space="0" w:color="auto"/>
            </w:tcBorders>
            <w:shd w:val="clear" w:color="FF0000" w:fill="auto"/>
            <w:vAlign w:val="center"/>
          </w:tcPr>
          <w:p w:rsidR="00982B0E" w:rsidRDefault="00DA60C8">
            <w:pPr>
              <w:pStyle w:val="berschrift4"/>
              <w:spacing w:before="120"/>
              <w:ind w:left="71"/>
              <w:jc w:val="left"/>
              <w:rPr>
                <w:rFonts w:ascii="Arial" w:hAnsi="Arial"/>
              </w:rPr>
            </w:pPr>
            <w:bookmarkStart w:id="0" w:name="_GoBack"/>
            <w:bookmarkEnd w:id="0"/>
            <w:r>
              <w:rPr>
                <w:rFonts w:ascii="Arial" w:hAnsi="Arial"/>
              </w:rPr>
              <w:t>Betriebsanweisung für Tätigkeiten mit Gefahrstoffen</w:t>
            </w:r>
          </w:p>
          <w:p w:rsidR="00982B0E" w:rsidRDefault="00DA60C8">
            <w:pPr>
              <w:spacing w:before="120" w:line="240" w:lineRule="atLeast"/>
              <w:ind w:left="71"/>
              <w:rPr>
                <w:rFonts w:ascii="Arial" w:hAnsi="Arial"/>
                <w:sz w:val="28"/>
              </w:rPr>
            </w:pPr>
            <w:r>
              <w:rPr>
                <w:rFonts w:ascii="Arial" w:hAnsi="Arial"/>
                <w:sz w:val="28"/>
              </w:rPr>
              <w:t>gem. § 14 GefStoffV</w:t>
            </w:r>
            <w:r>
              <w:rPr>
                <w:rFonts w:ascii="Times" w:hAnsi="Times"/>
                <w:noProof/>
                <w:sz w:val="46"/>
              </w:rPr>
              <w:t xml:space="preserve"> </w:t>
            </w:r>
          </w:p>
          <w:p w:rsidR="00982B0E" w:rsidRDefault="00982B0E">
            <w:pPr>
              <w:spacing w:line="160" w:lineRule="atLeast"/>
              <w:rPr>
                <w:rFonts w:ascii="Times" w:hAnsi="Times"/>
                <w:spacing w:val="10"/>
                <w:sz w:val="12"/>
              </w:rPr>
            </w:pPr>
          </w:p>
        </w:tc>
        <w:tc>
          <w:tcPr>
            <w:tcW w:w="5245" w:type="dxa"/>
            <w:gridSpan w:val="4"/>
            <w:tcBorders>
              <w:top w:val="single" w:sz="48" w:space="0" w:color="FFCC00"/>
              <w:bottom w:val="single" w:sz="4" w:space="0" w:color="auto"/>
              <w:right w:val="single" w:sz="48" w:space="0" w:color="FFCC00"/>
            </w:tcBorders>
            <w:shd w:val="clear" w:color="FF0000" w:fill="auto"/>
          </w:tcPr>
          <w:p w:rsidR="00982B0E" w:rsidRDefault="008632B6">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41" type="#_x0000_t75" style="position:absolute;left:0;text-align:left;margin-left:97.95pt;margin-top:6.95pt;width:153pt;height:1in;z-index:251657728;visibility:visible;mso-position-horizontal-relative:text;mso-position-vertical-relative:text">
                  <v:imagedata r:id="rId7" o:title="logo-sw-klein"/>
                </v:shape>
              </w:pict>
            </w:r>
          </w:p>
        </w:tc>
      </w:tr>
      <w:tr w:rsidR="00982B0E">
        <w:tc>
          <w:tcPr>
            <w:tcW w:w="10490" w:type="dxa"/>
            <w:gridSpan w:val="8"/>
            <w:tcBorders>
              <w:top w:val="single" w:sz="4" w:space="0" w:color="auto"/>
              <w:left w:val="single" w:sz="48" w:space="0" w:color="FFCC00"/>
              <w:bottom w:val="nil"/>
              <w:right w:val="single" w:sz="48" w:space="0" w:color="FFCC00"/>
            </w:tcBorders>
            <w:shd w:val="clear" w:color="FF0000" w:fill="auto"/>
          </w:tcPr>
          <w:p w:rsidR="00982B0E" w:rsidRDefault="00DA60C8">
            <w:pPr>
              <w:pStyle w:val="berschrift4"/>
              <w:spacing w:before="120"/>
              <w:rPr>
                <w:sz w:val="32"/>
              </w:rPr>
            </w:pPr>
            <w:r>
              <w:rPr>
                <w:rFonts w:ascii="Arial" w:hAnsi="Arial"/>
                <w:sz w:val="32"/>
              </w:rPr>
              <w:t>Brandfördernde Gefahrstoffe, fest</w:t>
            </w:r>
          </w:p>
        </w:tc>
      </w:tr>
      <w:tr w:rsidR="00982B0E">
        <w:tc>
          <w:tcPr>
            <w:tcW w:w="10490" w:type="dxa"/>
            <w:gridSpan w:val="8"/>
            <w:tcBorders>
              <w:left w:val="single" w:sz="48" w:space="0" w:color="FFCC00"/>
              <w:bottom w:val="nil"/>
              <w:right w:val="single" w:sz="48" w:space="0" w:color="FFCC00"/>
            </w:tcBorders>
            <w:shd w:val="clear" w:color="FF0000" w:fill="auto"/>
          </w:tcPr>
          <w:p w:rsidR="00982B0E" w:rsidRDefault="00DA60C8">
            <w:pPr>
              <w:spacing w:before="120" w:after="120"/>
              <w:jc w:val="center"/>
              <w:rPr>
                <w:sz w:val="24"/>
              </w:rPr>
            </w:pPr>
            <w:r>
              <w:rPr>
                <w:rFonts w:ascii="Arial" w:hAnsi="Arial"/>
                <w:sz w:val="24"/>
              </w:rPr>
              <w:t>z.B. Natriumperoxid, Kaliumpermanganat, Natriumperchlorat</w:t>
            </w:r>
          </w:p>
        </w:tc>
      </w:tr>
      <w:tr w:rsidR="00982B0E">
        <w:trPr>
          <w:trHeight w:val="553"/>
        </w:trPr>
        <w:tc>
          <w:tcPr>
            <w:tcW w:w="10490" w:type="dxa"/>
            <w:gridSpan w:val="8"/>
            <w:tcBorders>
              <w:left w:val="single" w:sz="48" w:space="0" w:color="FFCC00"/>
              <w:bottom w:val="nil"/>
              <w:right w:val="single" w:sz="48" w:space="0" w:color="FFCC00"/>
            </w:tcBorders>
            <w:shd w:val="clear" w:color="FF0000" w:fill="FFCC00"/>
          </w:tcPr>
          <w:p w:rsidR="00982B0E" w:rsidRDefault="00DA60C8">
            <w:pPr>
              <w:pStyle w:val="berschrift4"/>
              <w:spacing w:before="120"/>
              <w:rPr>
                <w:rFonts w:ascii="Arial" w:hAnsi="Arial"/>
              </w:rPr>
            </w:pPr>
            <w:r>
              <w:rPr>
                <w:rFonts w:ascii="Arial" w:hAnsi="Arial"/>
              </w:rPr>
              <w:t>Gefahr für Mensch und Umwelt</w:t>
            </w:r>
          </w:p>
        </w:tc>
      </w:tr>
      <w:tr w:rsidR="00982B0E">
        <w:trPr>
          <w:cantSplit/>
        </w:trPr>
        <w:tc>
          <w:tcPr>
            <w:tcW w:w="2127" w:type="dxa"/>
            <w:gridSpan w:val="2"/>
            <w:tcBorders>
              <w:left w:val="single" w:sz="48" w:space="0" w:color="FFCC00"/>
              <w:bottom w:val="nil"/>
            </w:tcBorders>
            <w:shd w:val="clear" w:color="FF0000" w:fill="auto"/>
          </w:tcPr>
          <w:p w:rsidR="00982B0E" w:rsidRDefault="00982B0E">
            <w:pPr>
              <w:jc w:val="center"/>
            </w:pPr>
          </w:p>
          <w:p w:rsidR="00982B0E" w:rsidRDefault="00DA60C8">
            <w:pPr>
              <w:jc w:val="center"/>
            </w:pPr>
            <w:r>
              <w:fldChar w:fldCharType="begin"/>
            </w:r>
            <w:r>
              <w:instrText xml:space="preserve"> INCLUDEPICTURE "http://www.unece.org/trans/danger/publi/ghs/pictograms/rondflam.gif" \* MERGEFORMATINET </w:instrText>
            </w:r>
            <w:r>
              <w:fldChar w:fldCharType="separate"/>
            </w:r>
            <w:r w:rsidR="008632B6">
              <w:fldChar w:fldCharType="begin"/>
            </w:r>
            <w:r w:rsidR="008632B6">
              <w:instrText xml:space="preserve"> </w:instrText>
            </w:r>
            <w:r w:rsidR="008632B6">
              <w:instrText>INCLUDEPICTURE  "http://www.unece.org/trans/danger/publi/ghs/pictograms/rondflam.gif" \* MERGEFORMATINET</w:instrText>
            </w:r>
            <w:r w:rsidR="008632B6">
              <w:instrText xml:space="preserve"> </w:instrText>
            </w:r>
            <w:r w:rsidR="008632B6">
              <w:fldChar w:fldCharType="separate"/>
            </w:r>
            <w:r w:rsidR="008632B6">
              <w:pict>
                <v:shape id="_x0000_i1025" type="#_x0000_t75" alt="" style="width:79.8pt;height:79.8pt">
                  <v:imagedata r:id="rId8" r:href="rId9"/>
                </v:shape>
              </w:pict>
            </w:r>
            <w:r w:rsidR="008632B6">
              <w:fldChar w:fldCharType="end"/>
            </w:r>
            <w:r>
              <w:fldChar w:fldCharType="end"/>
            </w:r>
          </w:p>
          <w:p w:rsidR="00982B0E" w:rsidRDefault="00DA60C8">
            <w:pPr>
              <w:jc w:val="center"/>
              <w:rPr>
                <w:rFonts w:ascii="Arial" w:hAnsi="Arial" w:cs="Arial"/>
                <w:b/>
                <w:sz w:val="22"/>
              </w:rPr>
            </w:pPr>
            <w:r>
              <w:rPr>
                <w:rFonts w:ascii="Arial" w:hAnsi="Arial" w:cs="Arial"/>
              </w:rPr>
              <w:t>Gefahr</w:t>
            </w:r>
          </w:p>
        </w:tc>
        <w:tc>
          <w:tcPr>
            <w:tcW w:w="6662" w:type="dxa"/>
            <w:gridSpan w:val="5"/>
            <w:tcBorders>
              <w:bottom w:val="nil"/>
              <w:right w:val="nil"/>
            </w:tcBorders>
            <w:shd w:val="clear" w:color="FF0000" w:fill="auto"/>
          </w:tcPr>
          <w:p w:rsidR="00982B0E" w:rsidRDefault="00DA60C8">
            <w:pPr>
              <w:numPr>
                <w:ilvl w:val="0"/>
                <w:numId w:val="6"/>
              </w:numPr>
              <w:spacing w:before="120"/>
              <w:ind w:right="72"/>
              <w:rPr>
                <w:rFonts w:ascii="Arial" w:hAnsi="Arial"/>
                <w:b/>
                <w:sz w:val="22"/>
              </w:rPr>
            </w:pPr>
            <w:r>
              <w:rPr>
                <w:rFonts w:ascii="Arial" w:hAnsi="Arial"/>
              </w:rPr>
              <w:t>Stoffe selbst brennen nicht, reagieren aber unter Abgabe von Sauerstoff so heftig mit brennbaren Stoffen, daß sie diese z.T. ohne weitere Zündquelle zur Entzündung bringen und einen bestehenden Brand erheblich fördern können.</w:t>
            </w:r>
          </w:p>
          <w:p w:rsidR="00982B0E" w:rsidRDefault="00DA60C8">
            <w:pPr>
              <w:numPr>
                <w:ilvl w:val="0"/>
                <w:numId w:val="6"/>
              </w:numPr>
              <w:ind w:right="72"/>
              <w:rPr>
                <w:rFonts w:ascii="Arial" w:hAnsi="Arial"/>
                <w:b/>
                <w:sz w:val="22"/>
              </w:rPr>
            </w:pPr>
            <w:r>
              <w:rPr>
                <w:rFonts w:ascii="Arial" w:hAnsi="Arial"/>
              </w:rPr>
              <w:t>Gemische mit leicht entzündlichen Feststoffen sind meistens explosionsfähig.</w:t>
            </w:r>
          </w:p>
          <w:p w:rsidR="00982B0E" w:rsidRDefault="00DA60C8">
            <w:pPr>
              <w:numPr>
                <w:ilvl w:val="0"/>
                <w:numId w:val="6"/>
              </w:numPr>
              <w:ind w:right="72"/>
              <w:rPr>
                <w:rFonts w:ascii="Arial" w:hAnsi="Arial"/>
                <w:b/>
                <w:sz w:val="22"/>
              </w:rPr>
            </w:pPr>
            <w:r>
              <w:rPr>
                <w:rFonts w:ascii="Arial" w:hAnsi="Arial"/>
              </w:rPr>
              <w:t>Zum Teil sind diese Substanzen auch stark ätzend oder mindergiftig.</w:t>
            </w:r>
          </w:p>
        </w:tc>
        <w:tc>
          <w:tcPr>
            <w:tcW w:w="1701" w:type="dxa"/>
            <w:tcBorders>
              <w:left w:val="nil"/>
              <w:bottom w:val="nil"/>
              <w:right w:val="single" w:sz="48" w:space="0" w:color="FFCC00"/>
            </w:tcBorders>
            <w:shd w:val="clear" w:color="FF0000" w:fill="auto"/>
          </w:tcPr>
          <w:p w:rsidR="00982B0E" w:rsidRDefault="00982B0E">
            <w:pPr>
              <w:jc w:val="center"/>
              <w:rPr>
                <w:rFonts w:ascii="Arial" w:hAnsi="Arial"/>
                <w:b/>
                <w:sz w:val="22"/>
              </w:rPr>
            </w:pPr>
          </w:p>
        </w:tc>
      </w:tr>
      <w:tr w:rsidR="00982B0E">
        <w:tc>
          <w:tcPr>
            <w:tcW w:w="10490" w:type="dxa"/>
            <w:gridSpan w:val="8"/>
            <w:tcBorders>
              <w:left w:val="single" w:sz="48" w:space="0" w:color="FFCC00"/>
              <w:bottom w:val="nil"/>
              <w:right w:val="single" w:sz="48" w:space="0" w:color="FFCC00"/>
            </w:tcBorders>
            <w:shd w:val="clear" w:color="FF0000" w:fill="FFCC00"/>
          </w:tcPr>
          <w:p w:rsidR="00982B0E" w:rsidRDefault="00DA60C8">
            <w:pPr>
              <w:pStyle w:val="berschrift4"/>
              <w:rPr>
                <w:rFonts w:ascii="Arial" w:hAnsi="Arial"/>
              </w:rPr>
            </w:pPr>
            <w:r>
              <w:rPr>
                <w:rFonts w:ascii="Arial" w:hAnsi="Arial"/>
              </w:rPr>
              <w:t>Schutzmaßnahmen und Verhaltensregeln</w:t>
            </w:r>
          </w:p>
        </w:tc>
      </w:tr>
      <w:tr w:rsidR="00982B0E">
        <w:tc>
          <w:tcPr>
            <w:tcW w:w="2622" w:type="dxa"/>
            <w:gridSpan w:val="3"/>
            <w:tcBorders>
              <w:left w:val="single" w:sz="48" w:space="0" w:color="FFCC00"/>
              <w:bottom w:val="nil"/>
            </w:tcBorders>
            <w:shd w:val="clear" w:color="FF0000" w:fill="auto"/>
          </w:tcPr>
          <w:p w:rsidR="00982B0E" w:rsidRDefault="00DA60C8">
            <w:pPr>
              <w:pStyle w:val="berschrift4"/>
              <w:spacing w:before="120"/>
              <w:rPr>
                <w:rFonts w:ascii="Arial" w:hAnsi="Arial"/>
                <w:sz w:val="24"/>
              </w:rPr>
            </w:pPr>
            <w:r>
              <w:rPr>
                <w:rFonts w:ascii="Arial" w:hAnsi="Arial"/>
                <w:sz w:val="24"/>
              </w:rPr>
              <w:object w:dxaOrig="1416" w:dyaOrig="1416">
                <v:shape id="_x0000_i1026" type="#_x0000_t75" style="width:67.8pt;height:67.8pt" o:ole="" fillcolor="window">
                  <v:imagedata r:id="rId10" o:title=""/>
                </v:shape>
                <o:OLEObject Type="Embed" ProgID="MSPhotoEd.3" ShapeID="_x0000_i1026" DrawAspect="Content" ObjectID="_1612936958" r:id="rId11"/>
              </w:object>
            </w:r>
          </w:p>
        </w:tc>
        <w:tc>
          <w:tcPr>
            <w:tcW w:w="2623" w:type="dxa"/>
            <w:tcBorders>
              <w:bottom w:val="nil"/>
            </w:tcBorders>
            <w:shd w:val="clear" w:color="FF0000" w:fill="auto"/>
          </w:tcPr>
          <w:p w:rsidR="00982B0E" w:rsidRDefault="00DA60C8">
            <w:pPr>
              <w:pStyle w:val="Blocktext"/>
              <w:ind w:left="0"/>
              <w:jc w:val="center"/>
              <w:rPr>
                <w:b/>
                <w:bCs/>
              </w:rPr>
            </w:pPr>
            <w:r>
              <w:rPr>
                <w:sz w:val="24"/>
              </w:rPr>
              <w:object w:dxaOrig="1416" w:dyaOrig="1416">
                <v:shape id="_x0000_i1027" type="#_x0000_t75" style="width:70.8pt;height:70.8pt" o:ole="" fillcolor="window">
                  <v:imagedata r:id="rId12" o:title=""/>
                </v:shape>
                <o:OLEObject Type="Embed" ProgID="MSPhotoEd.3" ShapeID="_x0000_i1027" DrawAspect="Content" ObjectID="_1612936959" r:id="rId13"/>
              </w:object>
            </w:r>
          </w:p>
        </w:tc>
        <w:tc>
          <w:tcPr>
            <w:tcW w:w="2622" w:type="dxa"/>
            <w:gridSpan w:val="2"/>
            <w:tcBorders>
              <w:bottom w:val="nil"/>
            </w:tcBorders>
            <w:shd w:val="clear" w:color="FF0000" w:fill="auto"/>
          </w:tcPr>
          <w:p w:rsidR="00982B0E" w:rsidRDefault="008632B6">
            <w:pPr>
              <w:pStyle w:val="Blocktext"/>
              <w:ind w:left="0"/>
              <w:jc w:val="center"/>
              <w:rPr>
                <w:b/>
                <w:bCs/>
              </w:rPr>
            </w:pPr>
            <w:r>
              <w:pict>
                <v:shape id="_x0000_i1028" type="#_x0000_t75" style="width:71.4pt;height:71.4pt" fillcolor="window">
                  <v:imagedata r:id="rId14" o:title="Feuer-v"/>
                </v:shape>
              </w:pict>
            </w:r>
          </w:p>
        </w:tc>
        <w:tc>
          <w:tcPr>
            <w:tcW w:w="2623" w:type="dxa"/>
            <w:gridSpan w:val="2"/>
            <w:tcBorders>
              <w:bottom w:val="nil"/>
              <w:right w:val="single" w:sz="48" w:space="0" w:color="FFCC00"/>
            </w:tcBorders>
            <w:shd w:val="clear" w:color="FF0000" w:fill="auto"/>
          </w:tcPr>
          <w:p w:rsidR="00982B0E" w:rsidRDefault="008632B6">
            <w:pPr>
              <w:pStyle w:val="Blocktext"/>
              <w:jc w:val="center"/>
            </w:pPr>
            <w:r>
              <w:pict>
                <v:shape id="_x0000_i1029" type="#_x0000_t75" style="width:70.8pt;height:70.8pt" fillcolor="window">
                  <v:imagedata r:id="rId15" o:title="rauchen"/>
                </v:shape>
              </w:pict>
            </w:r>
          </w:p>
        </w:tc>
      </w:tr>
      <w:tr w:rsidR="00982B0E">
        <w:trPr>
          <w:cantSplit/>
        </w:trPr>
        <w:tc>
          <w:tcPr>
            <w:tcW w:w="10490" w:type="dxa"/>
            <w:gridSpan w:val="8"/>
            <w:tcBorders>
              <w:left w:val="single" w:sz="48" w:space="0" w:color="FFCC00"/>
              <w:bottom w:val="nil"/>
              <w:right w:val="single" w:sz="48" w:space="0" w:color="FFCC00"/>
            </w:tcBorders>
            <w:shd w:val="clear" w:color="FF0000" w:fill="auto"/>
          </w:tcPr>
          <w:p w:rsidR="00982B0E" w:rsidRDefault="00DA60C8">
            <w:pPr>
              <w:pStyle w:val="Blocktext"/>
              <w:ind w:left="0"/>
            </w:pPr>
            <w:r>
              <w:rPr>
                <w:b/>
                <w:bCs/>
              </w:rPr>
              <w:t>Augenschutz</w:t>
            </w:r>
            <w:r>
              <w:t>:</w:t>
            </w:r>
            <w:r>
              <w:tab/>
              <w:t xml:space="preserve">Schutzbrille mit Seitenschutz / </w:t>
            </w:r>
            <w:r>
              <w:rPr>
                <w:b/>
                <w:bCs/>
              </w:rPr>
              <w:t>Handschutz</w:t>
            </w:r>
            <w:r>
              <w:t xml:space="preserve">: </w:t>
            </w:r>
            <w:r>
              <w:tab/>
              <w:t xml:space="preserve">Schutzhandschuhe </w:t>
            </w:r>
          </w:p>
          <w:p w:rsidR="00982B0E" w:rsidRDefault="00DA60C8">
            <w:pPr>
              <w:numPr>
                <w:ilvl w:val="0"/>
                <w:numId w:val="13"/>
              </w:numPr>
              <w:spacing w:before="120"/>
              <w:rPr>
                <w:rFonts w:ascii="Arial" w:hAnsi="Arial"/>
              </w:rPr>
            </w:pPr>
            <w:r>
              <w:rPr>
                <w:rFonts w:ascii="Arial" w:hAnsi="Arial"/>
              </w:rPr>
              <w:t>Kontakt mit Haut, Augen und Kleidung vermeiden. Hautschutzpräparate benutzen.</w:t>
            </w:r>
          </w:p>
          <w:p w:rsidR="00982B0E" w:rsidRDefault="00DA60C8">
            <w:pPr>
              <w:numPr>
                <w:ilvl w:val="0"/>
                <w:numId w:val="13"/>
              </w:numPr>
              <w:rPr>
                <w:rFonts w:ascii="Arial" w:hAnsi="Arial"/>
              </w:rPr>
            </w:pPr>
            <w:r>
              <w:rPr>
                <w:rFonts w:ascii="Arial" w:hAnsi="Arial"/>
              </w:rPr>
              <w:t xml:space="preserve">Benutzen Sie (vor allem beim Ab- und Umfüllen – Staubbildung!) die funktionstüchtigen Schutzeinrichtungen, z.B. Abzüge, Absaugungen </w:t>
            </w:r>
          </w:p>
          <w:p w:rsidR="00982B0E" w:rsidRDefault="00DA60C8">
            <w:pPr>
              <w:numPr>
                <w:ilvl w:val="0"/>
                <w:numId w:val="13"/>
              </w:numPr>
              <w:rPr>
                <w:rFonts w:ascii="Arial" w:hAnsi="Arial" w:cs="Arial"/>
              </w:rPr>
            </w:pPr>
            <w:r>
              <w:rPr>
                <w:rFonts w:ascii="Arial" w:hAnsi="Arial" w:cs="Arial"/>
              </w:rPr>
              <w:t>Von Zündquellen (z.B. offenen Flammen, Wärmequellen und Funken) fernhalten.</w:t>
            </w:r>
          </w:p>
          <w:p w:rsidR="00982B0E" w:rsidRDefault="00DA60C8">
            <w:pPr>
              <w:numPr>
                <w:ilvl w:val="0"/>
                <w:numId w:val="13"/>
              </w:numPr>
              <w:rPr>
                <w:rFonts w:ascii="Arial" w:hAnsi="Arial" w:cs="Arial"/>
              </w:rPr>
            </w:pPr>
            <w:r>
              <w:rPr>
                <w:rFonts w:ascii="Arial" w:hAnsi="Arial" w:cs="Arial"/>
              </w:rPr>
              <w:t>Nicht zusammen mit leicht entzündlichen, brennbaren sowie Sprengstoffen lagern.</w:t>
            </w:r>
          </w:p>
          <w:p w:rsidR="00982B0E" w:rsidRDefault="00DA60C8">
            <w:pPr>
              <w:keepLines/>
              <w:numPr>
                <w:ilvl w:val="0"/>
                <w:numId w:val="1"/>
              </w:numPr>
              <w:spacing w:line="240" w:lineRule="exact"/>
              <w:ind w:left="355" w:hanging="355"/>
              <w:rPr>
                <w:rFonts w:ascii="Arial" w:hAnsi="Arial" w:cs="Arial"/>
              </w:rPr>
            </w:pPr>
            <w:r>
              <w:rPr>
                <w:rFonts w:ascii="Arial" w:hAnsi="Arial" w:cs="Arial"/>
              </w:rPr>
              <w:t xml:space="preserve">Nur saubere Geräte benutzen und Gefäße nie offen am Arbeitsplatz stehen lassen </w:t>
            </w:r>
          </w:p>
          <w:p w:rsidR="00982B0E" w:rsidRDefault="00DA60C8">
            <w:pPr>
              <w:keepLines/>
              <w:numPr>
                <w:ilvl w:val="0"/>
                <w:numId w:val="1"/>
              </w:numPr>
              <w:spacing w:line="240" w:lineRule="exact"/>
              <w:ind w:left="355" w:hanging="355"/>
              <w:rPr>
                <w:rFonts w:ascii="Arial" w:hAnsi="Arial"/>
                <w:b/>
                <w:sz w:val="28"/>
              </w:rPr>
            </w:pPr>
            <w:r>
              <w:rPr>
                <w:rFonts w:ascii="Arial" w:hAnsi="Arial"/>
              </w:rPr>
              <w:t xml:space="preserve">Machen Sie sich vor Beginn der Arbeiten mit den notwendigen </w:t>
            </w:r>
            <w:r>
              <w:rPr>
                <w:rFonts w:ascii="Arial" w:hAnsi="Arial" w:cs="Arial"/>
              </w:rPr>
              <w:t>Sicherheitseinrichtungen vertraut, d.h. Feuerlöscher, Löschdecken, Notdusche, Notruf etc.</w:t>
            </w:r>
          </w:p>
        </w:tc>
      </w:tr>
      <w:tr w:rsidR="00982B0E">
        <w:tc>
          <w:tcPr>
            <w:tcW w:w="10490" w:type="dxa"/>
            <w:gridSpan w:val="8"/>
            <w:tcBorders>
              <w:left w:val="single" w:sz="48" w:space="0" w:color="FFCC00"/>
              <w:bottom w:val="nil"/>
              <w:right w:val="single" w:sz="48" w:space="0" w:color="FFCC00"/>
            </w:tcBorders>
            <w:shd w:val="clear" w:color="FF0000" w:fill="FFCC00"/>
          </w:tcPr>
          <w:p w:rsidR="00982B0E" w:rsidRDefault="00DA60C8">
            <w:pPr>
              <w:pStyle w:val="berschrift4"/>
              <w:keepNext w:val="0"/>
              <w:rPr>
                <w:rFonts w:ascii="Arial" w:hAnsi="Arial"/>
              </w:rPr>
            </w:pPr>
            <w:r>
              <w:rPr>
                <w:rFonts w:ascii="Arial" w:hAnsi="Arial"/>
              </w:rPr>
              <w:t>Verhalten im Gefahrfall</w:t>
            </w:r>
          </w:p>
        </w:tc>
      </w:tr>
      <w:tr w:rsidR="00982B0E">
        <w:trPr>
          <w:cantSplit/>
        </w:trPr>
        <w:tc>
          <w:tcPr>
            <w:tcW w:w="10490" w:type="dxa"/>
            <w:gridSpan w:val="8"/>
            <w:tcBorders>
              <w:left w:val="single" w:sz="48" w:space="0" w:color="FFCC00"/>
              <w:bottom w:val="nil"/>
              <w:right w:val="single" w:sz="48" w:space="0" w:color="FFCC00"/>
            </w:tcBorders>
            <w:shd w:val="clear" w:color="FF0000" w:fill="auto"/>
          </w:tcPr>
          <w:p w:rsidR="00982B0E" w:rsidRDefault="00DA60C8">
            <w:pPr>
              <w:keepLines/>
              <w:numPr>
                <w:ilvl w:val="0"/>
                <w:numId w:val="1"/>
              </w:numPr>
              <w:spacing w:line="240" w:lineRule="exact"/>
              <w:ind w:left="284" w:hanging="284"/>
              <w:rPr>
                <w:rFonts w:ascii="Arial" w:hAnsi="Arial"/>
              </w:rPr>
            </w:pPr>
            <w:r>
              <w:rPr>
                <w:rFonts w:ascii="Arial" w:hAnsi="Arial"/>
              </w:rPr>
              <w:t xml:space="preserve">Verschüttete brandfördernde Stoffe können leicht mit allerlei Reststoffen, insbesondere auch mit Schmutz, z.B. unter den Schränken unter Entflammung reagieren. Bei Verschütten besteht deshalb augenblicklich Brandgefahr. Im Gefahrenfall alle Anwesenden warnen, betroffenen Bereich räumen. Bei Beseitigen von Gefahr Schutzausrüstung tragen. </w:t>
            </w:r>
          </w:p>
          <w:p w:rsidR="00982B0E" w:rsidRDefault="00DA60C8">
            <w:pPr>
              <w:keepLines/>
              <w:numPr>
                <w:ilvl w:val="0"/>
                <w:numId w:val="1"/>
              </w:numPr>
              <w:spacing w:line="240" w:lineRule="exact"/>
              <w:ind w:left="284" w:hanging="284"/>
              <w:rPr>
                <w:rFonts w:ascii="Arial" w:hAnsi="Arial"/>
              </w:rPr>
            </w:pPr>
            <w:r>
              <w:rPr>
                <w:rFonts w:ascii="Arial" w:hAnsi="Arial"/>
              </w:rPr>
              <w:t>Vermeiden Sie das Einatmen von Stäuben. Beim Auftreten gefährlicher Stäube sind Atemschutzgeräte mit den entsprechenden Kombinationsfilter anzulegen.</w:t>
            </w:r>
          </w:p>
          <w:p w:rsidR="00982B0E" w:rsidRDefault="00DA60C8">
            <w:pPr>
              <w:keepLines/>
              <w:numPr>
                <w:ilvl w:val="0"/>
                <w:numId w:val="1"/>
              </w:numPr>
              <w:spacing w:line="240" w:lineRule="exact"/>
              <w:ind w:left="284" w:hanging="284"/>
              <w:rPr>
                <w:rFonts w:ascii="Arial" w:hAnsi="Arial"/>
              </w:rPr>
            </w:pPr>
            <w:r>
              <w:rPr>
                <w:rFonts w:ascii="Arial" w:hAnsi="Arial"/>
              </w:rPr>
              <w:t>Zündquellen beseitigen.</w:t>
            </w:r>
          </w:p>
          <w:p w:rsidR="00982B0E" w:rsidRDefault="00DA60C8">
            <w:pPr>
              <w:keepLines/>
              <w:numPr>
                <w:ilvl w:val="0"/>
                <w:numId w:val="1"/>
              </w:numPr>
              <w:spacing w:line="240" w:lineRule="exact"/>
              <w:ind w:left="284" w:hanging="284"/>
              <w:rPr>
                <w:b/>
              </w:rPr>
            </w:pPr>
            <w:r>
              <w:rPr>
                <w:rFonts w:ascii="Arial" w:hAnsi="Arial"/>
              </w:rPr>
              <w:t>Stoff selbst brennt nicht. Löschmittel auf die Umgebung abstimmen Staubentwicklung vermeiden.</w:t>
            </w:r>
          </w:p>
        </w:tc>
      </w:tr>
      <w:tr w:rsidR="00982B0E">
        <w:tc>
          <w:tcPr>
            <w:tcW w:w="7571" w:type="dxa"/>
            <w:gridSpan w:val="5"/>
            <w:tcBorders>
              <w:left w:val="single" w:sz="48" w:space="0" w:color="FFCC00"/>
              <w:bottom w:val="nil"/>
            </w:tcBorders>
            <w:shd w:val="clear" w:color="FF0000" w:fill="FFCC00"/>
          </w:tcPr>
          <w:p w:rsidR="00982B0E" w:rsidRDefault="00DA60C8">
            <w:pPr>
              <w:pStyle w:val="berschrift4"/>
              <w:keepNext w:val="0"/>
              <w:rPr>
                <w:rFonts w:ascii="Arial" w:hAnsi="Arial"/>
              </w:rPr>
            </w:pPr>
            <w:r>
              <w:rPr>
                <w:rFonts w:ascii="Arial" w:hAnsi="Arial"/>
              </w:rPr>
              <w:t>Erste Hilfe</w:t>
            </w:r>
          </w:p>
        </w:tc>
        <w:tc>
          <w:tcPr>
            <w:tcW w:w="2919" w:type="dxa"/>
            <w:gridSpan w:val="3"/>
            <w:tcBorders>
              <w:bottom w:val="nil"/>
              <w:right w:val="single" w:sz="48" w:space="0" w:color="FFCC00"/>
            </w:tcBorders>
            <w:shd w:val="clear" w:color="FF0000" w:fill="FFFF00"/>
          </w:tcPr>
          <w:p w:rsidR="00982B0E" w:rsidRDefault="00DA60C8">
            <w:pPr>
              <w:pStyle w:val="berschrift4"/>
              <w:keepNext w:val="0"/>
              <w:rPr>
                <w:rFonts w:ascii="Arial" w:hAnsi="Arial"/>
                <w:b w:val="0"/>
              </w:rPr>
            </w:pPr>
            <w:r>
              <w:rPr>
                <w:rFonts w:ascii="Arial" w:hAnsi="Arial"/>
              </w:rPr>
              <w:t>NOTRUF 112</w:t>
            </w:r>
          </w:p>
        </w:tc>
      </w:tr>
      <w:tr w:rsidR="00982B0E">
        <w:trPr>
          <w:trHeight w:val="256"/>
        </w:trPr>
        <w:tc>
          <w:tcPr>
            <w:tcW w:w="1617" w:type="dxa"/>
            <w:tcBorders>
              <w:left w:val="single" w:sz="48" w:space="0" w:color="FFCC00"/>
              <w:bottom w:val="nil"/>
            </w:tcBorders>
            <w:shd w:val="clear" w:color="FF0000" w:fill="auto"/>
          </w:tcPr>
          <w:p w:rsidR="00982B0E" w:rsidRDefault="00DA60C8">
            <w:pPr>
              <w:pStyle w:val="berschrift4"/>
              <w:keepNext w:val="0"/>
              <w:rPr>
                <w:rFonts w:ascii="Arial" w:hAnsi="Arial"/>
                <w:sz w:val="22"/>
              </w:rPr>
            </w:pPr>
            <w:r>
              <w:rPr>
                <w:rFonts w:ascii="Arial" w:hAnsi="Arial"/>
              </w:rPr>
              <w:object w:dxaOrig="3360" w:dyaOrig="4080">
                <v:shape id="_x0000_i1030" type="#_x0000_t75" style="width:58.8pt;height:71.4pt" o:ole="">
                  <v:imagedata r:id="rId16" o:title=""/>
                </v:shape>
                <o:OLEObject Type="Embed" ProgID="PBrush" ShapeID="_x0000_i1030" DrawAspect="Content" ObjectID="_1612936960" r:id="rId17"/>
              </w:object>
            </w:r>
          </w:p>
        </w:tc>
        <w:tc>
          <w:tcPr>
            <w:tcW w:w="8873" w:type="dxa"/>
            <w:gridSpan w:val="7"/>
            <w:tcBorders>
              <w:bottom w:val="nil"/>
              <w:right w:val="single" w:sz="48" w:space="0" w:color="FFCC00"/>
            </w:tcBorders>
            <w:shd w:val="clear" w:color="FF0000" w:fill="auto"/>
          </w:tcPr>
          <w:p w:rsidR="00982B0E" w:rsidRDefault="00DA60C8">
            <w:pPr>
              <w:pStyle w:val="Blocktext"/>
              <w:ind w:left="2055" w:hanging="1984"/>
            </w:pPr>
            <w:r>
              <w:t xml:space="preserve">Nach Hautkontakt: </w:t>
            </w:r>
            <w:r>
              <w:tab/>
              <w:t>Mit reichlich Wasser mit Seife abwaschen. Benetzte Kleidung ausziehen.</w:t>
            </w:r>
          </w:p>
          <w:p w:rsidR="00982B0E" w:rsidRDefault="00DA60C8">
            <w:pPr>
              <w:pStyle w:val="Blocktext"/>
              <w:spacing w:before="0"/>
              <w:ind w:left="2055" w:hanging="1984"/>
            </w:pPr>
            <w:r>
              <w:t>Nach Augenkontakt:</w:t>
            </w:r>
            <w:r>
              <w:tab/>
              <w:t>Bei gut geöffnetem Lidspalt mindestens 10 Minuten unter fließendem kalten Wasser spülen (Augendusche).</w:t>
            </w:r>
          </w:p>
          <w:p w:rsidR="00982B0E" w:rsidRDefault="00DA60C8">
            <w:pPr>
              <w:pStyle w:val="Blocktext"/>
              <w:spacing w:before="0"/>
              <w:ind w:left="2055" w:hanging="1984"/>
            </w:pPr>
            <w:r>
              <w:t>Nach Einatmen:</w:t>
            </w:r>
            <w:r>
              <w:tab/>
              <w:t>Verletzten aus dem Gefahrenbereich an die frische Luft bringen.</w:t>
            </w:r>
          </w:p>
          <w:p w:rsidR="00982B0E" w:rsidRDefault="00DA60C8">
            <w:pPr>
              <w:pStyle w:val="Blocktext"/>
              <w:spacing w:before="0"/>
              <w:ind w:left="2055" w:hanging="1984"/>
            </w:pPr>
            <w:r>
              <w:t>Nach Verschlucken:</w:t>
            </w:r>
            <w:r>
              <w:tab/>
              <w:t>Viel Wasser trinken, falls vorhanden mit Aktivkohle-Zusatz.</w:t>
            </w:r>
          </w:p>
          <w:p w:rsidR="00982B0E" w:rsidRDefault="00DA60C8">
            <w:pPr>
              <w:pStyle w:val="Blocktext"/>
              <w:spacing w:before="0"/>
              <w:ind w:left="2055" w:hanging="1984"/>
            </w:pPr>
            <w:r>
              <w:t>Bei Unfall oder Unwohlsein sofort Arzt hinzuziehen (wenn möglich das Etikett vorzeigen).</w:t>
            </w:r>
          </w:p>
        </w:tc>
      </w:tr>
      <w:tr w:rsidR="00982B0E">
        <w:tc>
          <w:tcPr>
            <w:tcW w:w="10490" w:type="dxa"/>
            <w:gridSpan w:val="8"/>
            <w:tcBorders>
              <w:left w:val="single" w:sz="48" w:space="0" w:color="FFCC00"/>
              <w:bottom w:val="nil"/>
              <w:right w:val="single" w:sz="48" w:space="0" w:color="FFCC00"/>
            </w:tcBorders>
            <w:shd w:val="clear" w:color="FF0000" w:fill="FFCC00"/>
          </w:tcPr>
          <w:p w:rsidR="00982B0E" w:rsidRDefault="00DA60C8">
            <w:pPr>
              <w:pStyle w:val="berschrift4"/>
              <w:keepNext w:val="0"/>
              <w:rPr>
                <w:rFonts w:ascii="Arial" w:hAnsi="Arial"/>
              </w:rPr>
            </w:pPr>
            <w:r>
              <w:rPr>
                <w:rFonts w:ascii="Arial" w:hAnsi="Arial"/>
              </w:rPr>
              <w:t>Sachgerechte Entsorgung</w:t>
            </w:r>
          </w:p>
        </w:tc>
      </w:tr>
      <w:tr w:rsidR="00982B0E">
        <w:trPr>
          <w:cantSplit/>
          <w:trHeight w:val="611"/>
        </w:trPr>
        <w:tc>
          <w:tcPr>
            <w:tcW w:w="10490" w:type="dxa"/>
            <w:gridSpan w:val="8"/>
            <w:tcBorders>
              <w:left w:val="single" w:sz="48" w:space="0" w:color="FFCC00"/>
              <w:bottom w:val="single" w:sz="48" w:space="0" w:color="FFCC00"/>
              <w:right w:val="single" w:sz="48" w:space="0" w:color="FFCC00"/>
            </w:tcBorders>
            <w:shd w:val="clear" w:color="FF0000" w:fill="auto"/>
          </w:tcPr>
          <w:p w:rsidR="00982B0E" w:rsidRDefault="00DA60C8">
            <w:pPr>
              <w:widowControl w:val="0"/>
              <w:spacing w:line="240" w:lineRule="exact"/>
              <w:rPr>
                <w:rFonts w:ascii="Arial" w:hAnsi="Arial"/>
              </w:rPr>
            </w:pPr>
            <w:r>
              <w:rPr>
                <w:rFonts w:ascii="Arial" w:hAnsi="Arial"/>
              </w:rPr>
              <w:t xml:space="preserve">Abfälle in geschlossenen Behältern sammeln und nach Anweisung des Abfallbeauftragten über das zentrale Zwischenlager Tel.: 798 - 29392 entsorgen. </w:t>
            </w:r>
          </w:p>
        </w:tc>
      </w:tr>
    </w:tbl>
    <w:p w:rsidR="00982B0E" w:rsidRDefault="00982B0E">
      <w:pPr>
        <w:ind w:right="-1"/>
        <w:rPr>
          <w:sz w:val="2"/>
        </w:rPr>
      </w:pPr>
    </w:p>
    <w:sectPr w:rsidR="00982B0E">
      <w:headerReference w:type="even" r:id="rId18"/>
      <w:headerReference w:type="default" r:id="rId19"/>
      <w:footerReference w:type="first" r:id="rId20"/>
      <w:pgSz w:w="11906" w:h="16838" w:code="9"/>
      <w:pgMar w:top="465" w:right="566" w:bottom="709" w:left="1474" w:header="720" w:footer="124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B0E" w:rsidRDefault="00DA60C8">
      <w:r>
        <w:separator/>
      </w:r>
    </w:p>
  </w:endnote>
  <w:endnote w:type="continuationSeparator" w:id="0">
    <w:p w:rsidR="00982B0E" w:rsidRDefault="00DA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ridien Roman">
    <w:altName w:val="Times New Roman"/>
    <w:panose1 w:val="020A0503050306020303"/>
    <w:charset w:val="00"/>
    <w:family w:val="roman"/>
    <w:pitch w:val="variable"/>
    <w:sig w:usb0="00000001" w:usb1="4000004A" w:usb2="00000000" w:usb3="00000000" w:csb0="0000011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B0E" w:rsidRDefault="00DA60C8">
    <w:pPr>
      <w:pStyle w:val="Fuzeile"/>
      <w:jc w:val="right"/>
    </w:pPr>
    <w:r>
      <w:t>Stand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B0E" w:rsidRDefault="00DA60C8">
      <w:r>
        <w:separator/>
      </w:r>
    </w:p>
  </w:footnote>
  <w:footnote w:type="continuationSeparator" w:id="0">
    <w:p w:rsidR="00982B0E" w:rsidRDefault="00DA6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B0E" w:rsidRDefault="00DA60C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982B0E" w:rsidRDefault="00982B0E">
    <w:pPr>
      <w:pStyle w:val="Kopfzeile"/>
      <w:spacing w:after="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B0E" w:rsidRDefault="00DA60C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982B0E" w:rsidRDefault="00982B0E">
    <w:pPr>
      <w:pStyle w:val="Kopfzeile"/>
      <w:spacing w:after="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3B9222C"/>
    <w:multiLevelType w:val="hybridMultilevel"/>
    <w:tmpl w:val="38D0CB84"/>
    <w:lvl w:ilvl="0" w:tplc="0D329FF2">
      <w:start w:val="1"/>
      <w:numFmt w:val="bullet"/>
      <w:lvlText w:val=""/>
      <w:lvlJc w:val="left"/>
      <w:pPr>
        <w:tabs>
          <w:tab w:val="num" w:pos="720"/>
        </w:tabs>
        <w:ind w:left="720" w:hanging="360"/>
      </w:pPr>
      <w:rPr>
        <w:rFonts w:ascii="Symbol" w:hAnsi="Symbol" w:hint="default"/>
        <w:sz w:val="20"/>
      </w:rPr>
    </w:lvl>
    <w:lvl w:ilvl="1" w:tplc="B6D20CEC" w:tentative="1">
      <w:start w:val="1"/>
      <w:numFmt w:val="bullet"/>
      <w:lvlText w:val="o"/>
      <w:lvlJc w:val="left"/>
      <w:pPr>
        <w:tabs>
          <w:tab w:val="num" w:pos="1440"/>
        </w:tabs>
        <w:ind w:left="1440" w:hanging="360"/>
      </w:pPr>
      <w:rPr>
        <w:rFonts w:ascii="Courier New" w:hAnsi="Courier New" w:hint="default"/>
        <w:sz w:val="20"/>
      </w:rPr>
    </w:lvl>
    <w:lvl w:ilvl="2" w:tplc="06542B60" w:tentative="1">
      <w:start w:val="1"/>
      <w:numFmt w:val="bullet"/>
      <w:lvlText w:val=""/>
      <w:lvlJc w:val="left"/>
      <w:pPr>
        <w:tabs>
          <w:tab w:val="num" w:pos="2160"/>
        </w:tabs>
        <w:ind w:left="2160" w:hanging="360"/>
      </w:pPr>
      <w:rPr>
        <w:rFonts w:ascii="Wingdings" w:hAnsi="Wingdings" w:hint="default"/>
        <w:sz w:val="20"/>
      </w:rPr>
    </w:lvl>
    <w:lvl w:ilvl="3" w:tplc="4B3005F6" w:tentative="1">
      <w:start w:val="1"/>
      <w:numFmt w:val="bullet"/>
      <w:lvlText w:val=""/>
      <w:lvlJc w:val="left"/>
      <w:pPr>
        <w:tabs>
          <w:tab w:val="num" w:pos="2880"/>
        </w:tabs>
        <w:ind w:left="2880" w:hanging="360"/>
      </w:pPr>
      <w:rPr>
        <w:rFonts w:ascii="Wingdings" w:hAnsi="Wingdings" w:hint="default"/>
        <w:sz w:val="20"/>
      </w:rPr>
    </w:lvl>
    <w:lvl w:ilvl="4" w:tplc="2E028798" w:tentative="1">
      <w:start w:val="1"/>
      <w:numFmt w:val="bullet"/>
      <w:lvlText w:val=""/>
      <w:lvlJc w:val="left"/>
      <w:pPr>
        <w:tabs>
          <w:tab w:val="num" w:pos="3600"/>
        </w:tabs>
        <w:ind w:left="3600" w:hanging="360"/>
      </w:pPr>
      <w:rPr>
        <w:rFonts w:ascii="Wingdings" w:hAnsi="Wingdings" w:hint="default"/>
        <w:sz w:val="20"/>
      </w:rPr>
    </w:lvl>
    <w:lvl w:ilvl="5" w:tplc="324A9594" w:tentative="1">
      <w:start w:val="1"/>
      <w:numFmt w:val="bullet"/>
      <w:lvlText w:val=""/>
      <w:lvlJc w:val="left"/>
      <w:pPr>
        <w:tabs>
          <w:tab w:val="num" w:pos="4320"/>
        </w:tabs>
        <w:ind w:left="4320" w:hanging="360"/>
      </w:pPr>
      <w:rPr>
        <w:rFonts w:ascii="Wingdings" w:hAnsi="Wingdings" w:hint="default"/>
        <w:sz w:val="20"/>
      </w:rPr>
    </w:lvl>
    <w:lvl w:ilvl="6" w:tplc="BE9C01C0" w:tentative="1">
      <w:start w:val="1"/>
      <w:numFmt w:val="bullet"/>
      <w:lvlText w:val=""/>
      <w:lvlJc w:val="left"/>
      <w:pPr>
        <w:tabs>
          <w:tab w:val="num" w:pos="5040"/>
        </w:tabs>
        <w:ind w:left="5040" w:hanging="360"/>
      </w:pPr>
      <w:rPr>
        <w:rFonts w:ascii="Wingdings" w:hAnsi="Wingdings" w:hint="default"/>
        <w:sz w:val="20"/>
      </w:rPr>
    </w:lvl>
    <w:lvl w:ilvl="7" w:tplc="63342920" w:tentative="1">
      <w:start w:val="1"/>
      <w:numFmt w:val="bullet"/>
      <w:lvlText w:val=""/>
      <w:lvlJc w:val="left"/>
      <w:pPr>
        <w:tabs>
          <w:tab w:val="num" w:pos="5760"/>
        </w:tabs>
        <w:ind w:left="5760" w:hanging="360"/>
      </w:pPr>
      <w:rPr>
        <w:rFonts w:ascii="Wingdings" w:hAnsi="Wingdings" w:hint="default"/>
        <w:sz w:val="20"/>
      </w:rPr>
    </w:lvl>
    <w:lvl w:ilvl="8" w:tplc="2EBE9EE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55300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15:restartNumberingAfterBreak="0">
    <w:nsid w:val="45DD790F"/>
    <w:multiLevelType w:val="singleLevel"/>
    <w:tmpl w:val="FFFFFFFF"/>
    <w:lvl w:ilvl="0">
      <w:start w:val="1"/>
      <w:numFmt w:val="bullet"/>
      <w:lvlText w:val=""/>
      <w:legacy w:legacy="1" w:legacySpace="0" w:legacyIndent="283"/>
      <w:lvlJc w:val="left"/>
      <w:pPr>
        <w:ind w:left="1559" w:hanging="283"/>
      </w:pPr>
      <w:rPr>
        <w:rFonts w:ascii="Symbol" w:hAnsi="Symbol" w:hint="default"/>
      </w:rPr>
    </w:lvl>
  </w:abstractNum>
  <w:abstractNum w:abstractNumId="4" w15:restartNumberingAfterBreak="0">
    <w:nsid w:val="46BA1EB3"/>
    <w:multiLevelType w:val="singleLevel"/>
    <w:tmpl w:val="73F4F984"/>
    <w:lvl w:ilvl="0">
      <w:start w:val="1"/>
      <w:numFmt w:val="bullet"/>
      <w:lvlText w:val="–"/>
      <w:lvlJc w:val="left"/>
      <w:pPr>
        <w:tabs>
          <w:tab w:val="num" w:pos="360"/>
        </w:tabs>
        <w:ind w:left="360" w:hanging="360"/>
      </w:pPr>
      <w:rPr>
        <w:rFonts w:ascii="Times New Roman" w:hAnsi="Times New Roman" w:hint="default"/>
        <w:sz w:val="16"/>
      </w:rPr>
    </w:lvl>
  </w:abstractNum>
  <w:abstractNum w:abstractNumId="5" w15:restartNumberingAfterBreak="0">
    <w:nsid w:val="5715105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5FF33C7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69677405"/>
    <w:multiLevelType w:val="singleLevel"/>
    <w:tmpl w:val="0407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2"/>
  </w:num>
  <w:num w:numId="4">
    <w:abstractNumId w:val="6"/>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3"/>
  </w:num>
  <w:num w:numId="12">
    <w:abstractNumId w:val="5"/>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autoHyphenation/>
  <w:hyphenationZone w:val="142"/>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0C8"/>
    <w:rsid w:val="008632B6"/>
    <w:rsid w:val="00982B0E"/>
    <w:rsid w:val="00DA60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colormenu v:ext="edit" fillcolor="#f90" strokecolor="#fc0"/>
    </o:shapedefaults>
    <o:shapelayout v:ext="edit">
      <o:idmap v:ext="edit" data="1"/>
    </o:shapelayout>
  </w:shapeDefaults>
  <w:decimalSymbol w:val=","/>
  <w:listSeparator w:val=";"/>
  <w15:chartTrackingRefBased/>
  <w15:docId w15:val="{81ABDCC2-95A7-40D9-B129-54837FB2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entury Gothic" w:hAnsi="Century Gothic"/>
    </w:rPr>
  </w:style>
  <w:style w:type="paragraph" w:styleId="berschrift1">
    <w:name w:val="heading 1"/>
    <w:basedOn w:val="Standard"/>
    <w:next w:val="Standard"/>
    <w:qFormat/>
    <w:pPr>
      <w:keepNext/>
      <w:shd w:val="pct25" w:color="FF0000" w:fill="FFFF00"/>
      <w:spacing w:before="60" w:after="60"/>
      <w:jc w:val="center"/>
      <w:outlineLvl w:val="0"/>
    </w:pPr>
    <w:rPr>
      <w:rFonts w:ascii="Arial" w:hAnsi="Arial"/>
      <w:b/>
      <w:sz w:val="24"/>
    </w:rPr>
  </w:style>
  <w:style w:type="paragraph" w:styleId="berschrift2">
    <w:name w:val="heading 2"/>
    <w:basedOn w:val="Standard"/>
    <w:next w:val="Standard"/>
    <w:qFormat/>
    <w:pPr>
      <w:keepNext/>
      <w:spacing w:before="120"/>
      <w:ind w:right="567"/>
      <w:jc w:val="right"/>
      <w:outlineLvl w:val="1"/>
    </w:pPr>
    <w:rPr>
      <w:rFonts w:ascii="Arial" w:hAnsi="Arial"/>
      <w:b/>
      <w:sz w:val="24"/>
    </w:rPr>
  </w:style>
  <w:style w:type="paragraph" w:styleId="berschrift3">
    <w:name w:val="heading 3"/>
    <w:basedOn w:val="Standard"/>
    <w:next w:val="Standard"/>
    <w:qFormat/>
    <w:pPr>
      <w:keepNext/>
      <w:jc w:val="center"/>
      <w:outlineLvl w:val="2"/>
    </w:pPr>
    <w:rPr>
      <w:sz w:val="28"/>
    </w:rPr>
  </w:style>
  <w:style w:type="paragraph" w:styleId="berschrift4">
    <w:name w:val="heading 4"/>
    <w:basedOn w:val="Standard"/>
    <w:next w:val="Standard"/>
    <w:qFormat/>
    <w:pPr>
      <w:keepNext/>
      <w:jc w:val="center"/>
      <w:outlineLvl w:val="3"/>
    </w:pPr>
    <w:rPr>
      <w:rFonts w:ascii="Meridien Roman" w:hAnsi="Meridien Roman"/>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pPr>
  </w:style>
  <w:style w:type="paragraph" w:styleId="Textkrper">
    <w:name w:val="Body Text"/>
    <w:basedOn w:val="Standard"/>
    <w:semiHidden/>
    <w:pPr>
      <w:numPr>
        <w:ilvl w:val="12"/>
      </w:numPr>
      <w:tabs>
        <w:tab w:val="left" w:pos="2268"/>
      </w:tabs>
    </w:pPr>
    <w:rPr>
      <w:rFonts w:ascii="Arial" w:hAnsi="Arial"/>
    </w:rPr>
  </w:style>
  <w:style w:type="paragraph" w:styleId="Blocktext">
    <w:name w:val="Block Text"/>
    <w:basedOn w:val="Standard"/>
    <w:semiHidden/>
    <w:pPr>
      <w:spacing w:before="120"/>
      <w:ind w:left="213" w:right="-1"/>
    </w:pPr>
    <w:rPr>
      <w:rFonts w:ascii="Arial" w:hAnsi="Arial"/>
    </w:r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Textkrper2">
    <w:name w:val="Body Text 2"/>
    <w:basedOn w:val="Standard"/>
    <w:semiHidden/>
    <w:pPr>
      <w:spacing w:before="120"/>
      <w:ind w:right="-1"/>
    </w:pPr>
    <w:rPr>
      <w:rFonts w:ascii="Arial" w:hAnsi="Arial"/>
    </w:rPr>
  </w:style>
  <w:style w:type="paragraph" w:styleId="Textkrper-Zeileneinzug">
    <w:name w:val="Body Text Indent"/>
    <w:basedOn w:val="Standard"/>
    <w:semiHidden/>
    <w:pPr>
      <w:spacing w:line="220" w:lineRule="atLeast"/>
      <w:ind w:left="639" w:hanging="356"/>
    </w:pPr>
    <w:rPr>
      <w:rFonts w:ascii="Arial" w:hAnsi="Arial"/>
      <w:sz w:val="18"/>
    </w:rPr>
  </w:style>
  <w:style w:type="paragraph" w:styleId="Textkrper-Einzug2">
    <w:name w:val="Body Text Indent 2"/>
    <w:basedOn w:val="Standard"/>
    <w:semiHidden/>
    <w:pPr>
      <w:tabs>
        <w:tab w:val="left" w:pos="639"/>
      </w:tabs>
      <w:spacing w:line="220" w:lineRule="atLeast"/>
      <w:ind w:left="922" w:hanging="356"/>
    </w:pPr>
    <w:rPr>
      <w:rFonts w:ascii="Arial" w:hAnsi="Arial"/>
      <w:sz w:val="18"/>
    </w:rPr>
  </w:style>
  <w:style w:type="paragraph" w:styleId="Textkrper3">
    <w:name w:val="Body Text 3"/>
    <w:basedOn w:val="Standard"/>
    <w:semiHidden/>
    <w:pPr>
      <w:spacing w:before="120"/>
      <w:ind w:right="567"/>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http://www.unece.org/trans/danger/publi/ghs/pictograms/rondflam.gif"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Betriebsanweisung</vt:lpstr>
    </vt:vector>
  </TitlesOfParts>
  <Company>Uni Ffm</Company>
  <LinksUpToDate>false</LinksUpToDate>
  <CharactersWithSpaces>2872</CharactersWithSpaces>
  <SharedDoc>false</SharedDoc>
  <HLinks>
    <vt:vector size="24" baseType="variant">
      <vt:variant>
        <vt:i4>3473447</vt:i4>
      </vt:variant>
      <vt:variant>
        <vt:i4>1333</vt:i4>
      </vt:variant>
      <vt:variant>
        <vt:i4>1026</vt:i4>
      </vt:variant>
      <vt:variant>
        <vt:i4>1</vt:i4>
      </vt:variant>
      <vt:variant>
        <vt:lpwstr>http://www.unece.org/trans/danger/publi/ghs/pictograms/rondflam.gif</vt:lpwstr>
      </vt:variant>
      <vt:variant>
        <vt:lpwstr/>
      </vt:variant>
      <vt:variant>
        <vt:i4>4259911</vt:i4>
      </vt:variant>
      <vt:variant>
        <vt:i4>1714</vt:i4>
      </vt:variant>
      <vt:variant>
        <vt:i4>1027</vt:i4>
      </vt:variant>
      <vt:variant>
        <vt:i4>1</vt:i4>
      </vt:variant>
      <vt:variant>
        <vt:lpwstr>C:\Zeichen\O.gif</vt:lpwstr>
      </vt:variant>
      <vt:variant>
        <vt:lpwstr/>
      </vt:variant>
      <vt:variant>
        <vt:i4>3604549</vt:i4>
      </vt:variant>
      <vt:variant>
        <vt:i4>1819</vt:i4>
      </vt:variant>
      <vt:variant>
        <vt:i4>1029</vt:i4>
      </vt:variant>
      <vt:variant>
        <vt:i4>1</vt:i4>
      </vt:variant>
      <vt:variant>
        <vt:lpwstr>C:\Zeichen\Verbote\Feuer-v.gif</vt:lpwstr>
      </vt:variant>
      <vt:variant>
        <vt:lpwstr/>
      </vt:variant>
      <vt:variant>
        <vt:i4>2162703</vt:i4>
      </vt:variant>
      <vt:variant>
        <vt:i4>1821</vt:i4>
      </vt:variant>
      <vt:variant>
        <vt:i4>1030</vt:i4>
      </vt:variant>
      <vt:variant>
        <vt:i4>1</vt:i4>
      </vt:variant>
      <vt:variant>
        <vt:lpwstr>C:\Zeichen\Verbote\rauchen.gif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Betriebsanweisung</dc:title>
  <dc:subject/>
  <dc:creator>Schneider</dc:creator>
  <cp:keywords/>
  <dc:description/>
  <cp:lastModifiedBy>Kirchner, Wolfgang</cp:lastModifiedBy>
  <cp:revision>2</cp:revision>
  <cp:lastPrinted>2001-07-18T15:32:00Z</cp:lastPrinted>
  <dcterms:created xsi:type="dcterms:W3CDTF">2019-03-01T08:13:00Z</dcterms:created>
  <dcterms:modified xsi:type="dcterms:W3CDTF">2019-03-01T08:13:00Z</dcterms:modified>
</cp:coreProperties>
</file>